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B8" w:rsidRDefault="009B53B8" w:rsidP="009B53B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9B53B8" w:rsidRPr="00DB062B" w:rsidRDefault="009B53B8" w:rsidP="009B53B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062B">
        <w:rPr>
          <w:rFonts w:ascii="Arial" w:hAnsi="Arial" w:cs="Arial"/>
          <w:b/>
          <w:sz w:val="20"/>
          <w:szCs w:val="20"/>
          <w:u w:val="single"/>
        </w:rPr>
        <w:t>FESTIVAL PARANAENSE DE MENORES 201</w:t>
      </w:r>
      <w:r w:rsidR="00BA4EF6">
        <w:rPr>
          <w:rFonts w:ascii="Arial" w:hAnsi="Arial" w:cs="Arial"/>
          <w:b/>
          <w:sz w:val="20"/>
          <w:szCs w:val="20"/>
          <w:u w:val="single"/>
        </w:rPr>
        <w:t xml:space="preserve">9 (SUB 08 – SUB 18) </w:t>
      </w:r>
    </w:p>
    <w:p w:rsidR="009B53B8" w:rsidRPr="00DB062B" w:rsidRDefault="009B53B8" w:rsidP="009B53B8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062B">
        <w:rPr>
          <w:rFonts w:ascii="Arial" w:hAnsi="Arial" w:cs="Arial"/>
          <w:b/>
          <w:sz w:val="20"/>
          <w:szCs w:val="20"/>
          <w:u w:val="single"/>
        </w:rPr>
        <w:t xml:space="preserve"> REGULAMENTO GERAL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062B">
        <w:rPr>
          <w:rFonts w:ascii="Arial" w:hAnsi="Arial" w:cs="Arial"/>
          <w:b/>
          <w:sz w:val="20"/>
          <w:szCs w:val="20"/>
          <w:u w:val="single"/>
        </w:rPr>
        <w:t>I – DA PROMOÇÃO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1.º</w:t>
      </w:r>
      <w:r w:rsidRPr="00DB062B">
        <w:rPr>
          <w:rFonts w:ascii="Arial" w:hAnsi="Arial" w:cs="Arial"/>
          <w:sz w:val="20"/>
          <w:szCs w:val="20"/>
        </w:rPr>
        <w:t xml:space="preserve"> - </w:t>
      </w:r>
      <w:r w:rsidRPr="00DB062B">
        <w:rPr>
          <w:rFonts w:ascii="Arial" w:hAnsi="Arial" w:cs="Arial"/>
          <w:b/>
          <w:sz w:val="20"/>
          <w:szCs w:val="20"/>
        </w:rPr>
        <w:t>O Festival Paranaense de Me</w:t>
      </w:r>
      <w:r w:rsidR="007C5845">
        <w:rPr>
          <w:rFonts w:ascii="Arial" w:hAnsi="Arial" w:cs="Arial"/>
          <w:b/>
          <w:sz w:val="20"/>
          <w:szCs w:val="20"/>
        </w:rPr>
        <w:t>nores (Sub 08 – Sub 18)</w:t>
      </w:r>
      <w:r w:rsidRPr="00DB062B">
        <w:rPr>
          <w:rFonts w:ascii="Arial" w:hAnsi="Arial" w:cs="Arial"/>
          <w:b/>
          <w:sz w:val="20"/>
          <w:szCs w:val="20"/>
        </w:rPr>
        <w:t xml:space="preserve"> </w:t>
      </w:r>
      <w:r w:rsidRPr="00DB062B">
        <w:rPr>
          <w:rFonts w:ascii="Arial" w:hAnsi="Arial" w:cs="Arial"/>
          <w:sz w:val="20"/>
          <w:szCs w:val="20"/>
        </w:rPr>
        <w:t xml:space="preserve">é uma prova oficial da Federação de Xadrez do Paraná – </w:t>
      </w:r>
      <w:proofErr w:type="spellStart"/>
      <w:r w:rsidRPr="00DB062B">
        <w:rPr>
          <w:rFonts w:ascii="Arial" w:hAnsi="Arial" w:cs="Arial"/>
          <w:sz w:val="20"/>
          <w:szCs w:val="20"/>
        </w:rPr>
        <w:t>Fexpar</w:t>
      </w:r>
      <w:proofErr w:type="spellEnd"/>
      <w:r w:rsidRPr="00DB062B">
        <w:rPr>
          <w:rFonts w:ascii="Arial" w:hAnsi="Arial" w:cs="Arial"/>
          <w:sz w:val="20"/>
          <w:szCs w:val="20"/>
        </w:rPr>
        <w:t xml:space="preserve">, sendo realizado conforme o disposto no presente regulamento e demais disposições complementares. 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062B">
        <w:rPr>
          <w:rFonts w:ascii="Arial" w:hAnsi="Arial" w:cs="Arial"/>
          <w:b/>
          <w:sz w:val="20"/>
          <w:szCs w:val="20"/>
          <w:u w:val="single"/>
        </w:rPr>
        <w:t>II – DO FESTIVAL E DA PARTICIPAÇÃO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2.º</w:t>
      </w:r>
      <w:r w:rsidRPr="00DB062B">
        <w:rPr>
          <w:rFonts w:ascii="Arial" w:hAnsi="Arial" w:cs="Arial"/>
          <w:sz w:val="20"/>
          <w:szCs w:val="20"/>
        </w:rPr>
        <w:t xml:space="preserve"> - </w:t>
      </w:r>
      <w:r w:rsidRPr="00DB062B">
        <w:rPr>
          <w:rFonts w:ascii="Arial" w:hAnsi="Arial" w:cs="Arial"/>
          <w:b/>
          <w:sz w:val="20"/>
          <w:szCs w:val="20"/>
        </w:rPr>
        <w:t>O Festival Paranaense de Menores (Sub 08 – Sub 1</w:t>
      </w:r>
      <w:r w:rsidR="007C5845">
        <w:rPr>
          <w:rFonts w:ascii="Arial" w:hAnsi="Arial" w:cs="Arial"/>
          <w:b/>
          <w:sz w:val="20"/>
          <w:szCs w:val="20"/>
        </w:rPr>
        <w:t>8)</w:t>
      </w:r>
      <w:r w:rsidR="007C5845">
        <w:rPr>
          <w:rFonts w:ascii="Arial" w:hAnsi="Arial" w:cs="Arial"/>
          <w:sz w:val="20"/>
          <w:szCs w:val="20"/>
        </w:rPr>
        <w:t xml:space="preserve"> </w:t>
      </w:r>
      <w:r w:rsidRPr="00DB062B">
        <w:rPr>
          <w:rFonts w:ascii="Arial" w:hAnsi="Arial" w:cs="Arial"/>
          <w:sz w:val="20"/>
          <w:szCs w:val="20"/>
        </w:rPr>
        <w:t>são constituídos pelos seguintes Campeonatos Paranaenses, no absoluto e feminino independentemente:</w:t>
      </w:r>
    </w:p>
    <w:p w:rsidR="009B53B8" w:rsidRPr="00DB062B" w:rsidRDefault="009B53B8" w:rsidP="009B53B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Sub 08: Para os nascidos em ou após 01 de janeiro de 20</w:t>
      </w:r>
      <w:r w:rsidR="007C5845">
        <w:rPr>
          <w:rFonts w:ascii="Arial" w:hAnsi="Arial" w:cs="Arial"/>
          <w:sz w:val="20"/>
          <w:szCs w:val="20"/>
        </w:rPr>
        <w:t>11</w:t>
      </w:r>
      <w:r w:rsidRPr="00DB062B">
        <w:rPr>
          <w:rFonts w:ascii="Arial" w:hAnsi="Arial" w:cs="Arial"/>
          <w:sz w:val="20"/>
          <w:szCs w:val="20"/>
        </w:rPr>
        <w:t>;</w:t>
      </w:r>
    </w:p>
    <w:p w:rsidR="009B53B8" w:rsidRPr="00DB062B" w:rsidRDefault="009B53B8" w:rsidP="009B53B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Sub 10: Para os nascidos em ou após 01 de janeiro de 200</w:t>
      </w:r>
      <w:r w:rsidR="007C5845">
        <w:rPr>
          <w:rFonts w:ascii="Arial" w:hAnsi="Arial" w:cs="Arial"/>
          <w:sz w:val="20"/>
          <w:szCs w:val="20"/>
        </w:rPr>
        <w:t>9</w:t>
      </w:r>
      <w:r w:rsidRPr="00DB062B">
        <w:rPr>
          <w:rFonts w:ascii="Arial" w:hAnsi="Arial" w:cs="Arial"/>
          <w:sz w:val="20"/>
          <w:szCs w:val="20"/>
        </w:rPr>
        <w:t>;</w:t>
      </w:r>
    </w:p>
    <w:p w:rsidR="009B53B8" w:rsidRPr="00DB062B" w:rsidRDefault="009B53B8" w:rsidP="009B53B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Sub 12: Para os nascidos em ou após 01 de janeiro de 200</w:t>
      </w:r>
      <w:r w:rsidR="007C5845">
        <w:rPr>
          <w:rFonts w:ascii="Arial" w:hAnsi="Arial" w:cs="Arial"/>
          <w:sz w:val="20"/>
          <w:szCs w:val="20"/>
        </w:rPr>
        <w:t>7</w:t>
      </w:r>
      <w:r w:rsidRPr="00DB062B">
        <w:rPr>
          <w:rFonts w:ascii="Arial" w:hAnsi="Arial" w:cs="Arial"/>
          <w:sz w:val="20"/>
          <w:szCs w:val="20"/>
        </w:rPr>
        <w:t>;</w:t>
      </w:r>
    </w:p>
    <w:p w:rsidR="009B53B8" w:rsidRPr="00DB062B" w:rsidRDefault="009B53B8" w:rsidP="009B53B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Sub 14: Para os nascidos em ou após 01 de janeiro de 200</w:t>
      </w:r>
      <w:r w:rsidR="007C5845">
        <w:rPr>
          <w:rFonts w:ascii="Arial" w:hAnsi="Arial" w:cs="Arial"/>
          <w:sz w:val="20"/>
          <w:szCs w:val="20"/>
        </w:rPr>
        <w:t>5</w:t>
      </w:r>
      <w:r w:rsidRPr="00DB062B">
        <w:rPr>
          <w:rFonts w:ascii="Arial" w:hAnsi="Arial" w:cs="Arial"/>
          <w:sz w:val="20"/>
          <w:szCs w:val="20"/>
        </w:rPr>
        <w:t>;</w:t>
      </w:r>
    </w:p>
    <w:p w:rsidR="009B53B8" w:rsidRPr="00DB062B" w:rsidRDefault="009B53B8" w:rsidP="009B53B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Sub 16: Para os nascidos em ou após 01 de janeiro de 200</w:t>
      </w:r>
      <w:r w:rsidR="007C5845">
        <w:rPr>
          <w:rFonts w:ascii="Arial" w:hAnsi="Arial" w:cs="Arial"/>
          <w:sz w:val="20"/>
          <w:szCs w:val="20"/>
        </w:rPr>
        <w:t>3</w:t>
      </w:r>
      <w:r w:rsidRPr="00DB062B">
        <w:rPr>
          <w:rFonts w:ascii="Arial" w:hAnsi="Arial" w:cs="Arial"/>
          <w:sz w:val="20"/>
          <w:szCs w:val="20"/>
        </w:rPr>
        <w:t>;</w:t>
      </w:r>
    </w:p>
    <w:p w:rsidR="009B53B8" w:rsidRPr="00DB062B" w:rsidRDefault="009B53B8" w:rsidP="009B53B8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Sub 18: Para os nascidos em ou após 01 de janeiro de </w:t>
      </w:r>
      <w:r w:rsidR="007C5845">
        <w:rPr>
          <w:rFonts w:ascii="Arial" w:hAnsi="Arial" w:cs="Arial"/>
          <w:sz w:val="20"/>
          <w:szCs w:val="20"/>
        </w:rPr>
        <w:t>2001</w:t>
      </w:r>
      <w:r w:rsidRPr="00DB062B">
        <w:rPr>
          <w:rFonts w:ascii="Arial" w:hAnsi="Arial" w:cs="Arial"/>
          <w:sz w:val="20"/>
          <w:szCs w:val="20"/>
        </w:rPr>
        <w:t>;</w:t>
      </w:r>
    </w:p>
    <w:p w:rsidR="009B53B8" w:rsidRDefault="009B53B8" w:rsidP="009B53B8">
      <w:pPr>
        <w:spacing w:after="120"/>
        <w:ind w:left="705"/>
        <w:jc w:val="both"/>
        <w:rPr>
          <w:rFonts w:ascii="Arial" w:hAnsi="Arial" w:cs="Arial"/>
          <w:sz w:val="20"/>
          <w:szCs w:val="20"/>
        </w:rPr>
      </w:pPr>
    </w:p>
    <w:p w:rsidR="009B53B8" w:rsidRPr="00DB062B" w:rsidRDefault="009B53B8" w:rsidP="009B53B8">
      <w:pPr>
        <w:spacing w:after="120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9B53B8" w:rsidRDefault="009B53B8" w:rsidP="007C5845">
      <w:pPr>
        <w:ind w:left="705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B75803">
        <w:rPr>
          <w:rFonts w:ascii="Arial" w:hAnsi="Arial" w:cs="Arial"/>
          <w:b/>
          <w:sz w:val="20"/>
          <w:szCs w:val="20"/>
        </w:rPr>
        <w:t>§ 1.º</w:t>
      </w:r>
      <w:r w:rsidRPr="00B75803">
        <w:rPr>
          <w:rFonts w:ascii="Arial" w:hAnsi="Arial" w:cs="Arial"/>
          <w:sz w:val="20"/>
          <w:szCs w:val="20"/>
        </w:rPr>
        <w:t xml:space="preserve"> – </w:t>
      </w:r>
      <w:r w:rsidRPr="00B75803">
        <w:rPr>
          <w:rFonts w:ascii="Arial" w:hAnsi="Arial" w:cs="Arial"/>
          <w:b/>
          <w:sz w:val="20"/>
          <w:szCs w:val="20"/>
        </w:rPr>
        <w:t>O Festival Paranaense de Me</w:t>
      </w:r>
      <w:r w:rsidR="007C5845">
        <w:rPr>
          <w:rFonts w:ascii="Arial" w:hAnsi="Arial" w:cs="Arial"/>
          <w:b/>
          <w:sz w:val="20"/>
          <w:szCs w:val="20"/>
        </w:rPr>
        <w:t>nores (Sub 08 – Sub 18)</w:t>
      </w:r>
      <w:r w:rsidRPr="00B75803">
        <w:rPr>
          <w:rFonts w:ascii="Arial" w:hAnsi="Arial" w:cs="Arial"/>
          <w:sz w:val="20"/>
          <w:szCs w:val="20"/>
        </w:rPr>
        <w:t xml:space="preserve"> este ano será realizado de </w:t>
      </w:r>
      <w:r>
        <w:rPr>
          <w:rFonts w:ascii="Arial" w:hAnsi="Arial" w:cs="Arial"/>
          <w:sz w:val="20"/>
          <w:szCs w:val="20"/>
        </w:rPr>
        <w:t>09</w:t>
      </w:r>
      <w:r w:rsidRPr="00B75803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11</w:t>
      </w:r>
      <w:r w:rsidRPr="00B75803">
        <w:rPr>
          <w:rFonts w:ascii="Arial" w:hAnsi="Arial" w:cs="Arial"/>
          <w:sz w:val="20"/>
          <w:szCs w:val="20"/>
        </w:rPr>
        <w:t xml:space="preserve"> de março de 201</w:t>
      </w:r>
      <w:r>
        <w:rPr>
          <w:rFonts w:ascii="Arial" w:hAnsi="Arial" w:cs="Arial"/>
          <w:sz w:val="20"/>
          <w:szCs w:val="20"/>
        </w:rPr>
        <w:t>8. A organização do</w:t>
      </w:r>
      <w:r w:rsidRPr="00B75803">
        <w:rPr>
          <w:rFonts w:ascii="Arial" w:hAnsi="Arial" w:cs="Arial"/>
          <w:sz w:val="20"/>
          <w:szCs w:val="20"/>
        </w:rPr>
        <w:t xml:space="preserve"> Festival Paranaense de Me</w:t>
      </w:r>
      <w:r w:rsidR="007C5845">
        <w:rPr>
          <w:rFonts w:ascii="Arial" w:hAnsi="Arial" w:cs="Arial"/>
          <w:sz w:val="20"/>
          <w:szCs w:val="20"/>
        </w:rPr>
        <w:t xml:space="preserve">nores (Sub 08 – Sub 18) </w:t>
      </w:r>
      <w:r>
        <w:rPr>
          <w:rFonts w:ascii="Arial" w:hAnsi="Arial" w:cs="Arial"/>
          <w:sz w:val="20"/>
          <w:szCs w:val="20"/>
        </w:rPr>
        <w:t xml:space="preserve">ficarão a cargo da </w:t>
      </w:r>
      <w:r w:rsidR="007C5845">
        <w:rPr>
          <w:rFonts w:ascii="Arial" w:hAnsi="Arial" w:cs="Arial"/>
          <w:sz w:val="20"/>
          <w:szCs w:val="20"/>
        </w:rPr>
        <w:t xml:space="preserve">Prefeitura Municipal de São José dos Pinhais </w:t>
      </w:r>
      <w:r>
        <w:rPr>
          <w:rFonts w:ascii="Arial" w:hAnsi="Arial" w:cs="Arial"/>
          <w:sz w:val="20"/>
          <w:szCs w:val="20"/>
        </w:rPr>
        <w:t xml:space="preserve">e será realizada </w:t>
      </w:r>
      <w:r w:rsidR="007C5845">
        <w:rPr>
          <w:rFonts w:ascii="Arial" w:hAnsi="Arial" w:cs="Arial"/>
          <w:sz w:val="20"/>
          <w:szCs w:val="20"/>
        </w:rPr>
        <w:t>GINÁSIO MAX ROSEMAN</w:t>
      </w:r>
      <w:r w:rsidRPr="00B75803">
        <w:rPr>
          <w:rFonts w:ascii="Arial" w:hAnsi="Arial" w:cs="Arial"/>
          <w:sz w:val="20"/>
          <w:szCs w:val="20"/>
        </w:rPr>
        <w:t xml:space="preserve"> </w:t>
      </w:r>
      <w:r w:rsidR="007C5845">
        <w:rPr>
          <w:rFonts w:ascii="Arial" w:hAnsi="Arial" w:cs="Arial"/>
          <w:color w:val="222222"/>
          <w:sz w:val="21"/>
          <w:szCs w:val="21"/>
          <w:shd w:val="clear" w:color="auto" w:fill="FFFFFF"/>
        </w:rPr>
        <w:t>Av. Rui Barbosa, 4997 - Afonso Pena, São José dos Pinhais - PR, 83045-350</w:t>
      </w:r>
    </w:p>
    <w:p w:rsidR="007C5845" w:rsidRPr="00B75803" w:rsidRDefault="007C5845" w:rsidP="007C5845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9B53B8" w:rsidRPr="00DB062B" w:rsidRDefault="009B53B8" w:rsidP="009B53B8">
      <w:pPr>
        <w:spacing w:after="120"/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 xml:space="preserve">§ 2.º </w:t>
      </w:r>
      <w:r w:rsidRPr="00DB062B">
        <w:rPr>
          <w:rFonts w:ascii="Arial" w:hAnsi="Arial" w:cs="Arial"/>
          <w:sz w:val="20"/>
          <w:szCs w:val="20"/>
        </w:rPr>
        <w:t xml:space="preserve">– Além da premiação individual oferecida aos atletas, haverá uma premiação especial aos Clubes e/ou Municípios participantes de acordo com a pontuação obtida nas classificações de seus enxadristas, a saber: 1.º lugar (15 pontos), 2.º (12 pontos), 3.º (10); 4.º (8), 5.º (7), 6.º (6); 7.º (5); 8.º (4); 9.º (3) e 10.º (2). </w:t>
      </w:r>
    </w:p>
    <w:p w:rsidR="009B53B8" w:rsidRPr="00DB062B" w:rsidRDefault="009B53B8" w:rsidP="009B53B8">
      <w:pPr>
        <w:spacing w:after="120"/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 xml:space="preserve">§ 3.º </w:t>
      </w:r>
      <w:r w:rsidRPr="00DB062B">
        <w:rPr>
          <w:rFonts w:ascii="Arial" w:hAnsi="Arial" w:cs="Arial"/>
          <w:sz w:val="20"/>
          <w:szCs w:val="20"/>
        </w:rPr>
        <w:t xml:space="preserve">– Para efeito de pontuação para os clubes / municípios somente os três melhores colocados pontuarão entre os 10 melhores colocados. </w:t>
      </w:r>
    </w:p>
    <w:p w:rsidR="009B53B8" w:rsidRDefault="009B53B8" w:rsidP="009B53B8">
      <w:pPr>
        <w:spacing w:after="120"/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 xml:space="preserve">§ 4.º </w:t>
      </w:r>
      <w:r w:rsidRPr="00DB062B">
        <w:rPr>
          <w:rFonts w:ascii="Arial" w:hAnsi="Arial" w:cs="Arial"/>
          <w:sz w:val="20"/>
          <w:szCs w:val="20"/>
        </w:rPr>
        <w:t>– Ao final do evento estes pontos por classificação serão somados e os três clubes / municípios com maiores pontuações serão agraciados com troféus do 1.º ao 3.º lugar (feminino, masculino e geral (fem.</w:t>
      </w:r>
      <w:proofErr w:type="gramStart"/>
      <w:r w:rsidRPr="00DB062B">
        <w:rPr>
          <w:rFonts w:ascii="Arial" w:hAnsi="Arial" w:cs="Arial"/>
          <w:sz w:val="20"/>
          <w:szCs w:val="20"/>
        </w:rPr>
        <w:t>+</w:t>
      </w:r>
      <w:proofErr w:type="gramEnd"/>
      <w:r w:rsidRPr="00DB062B">
        <w:rPr>
          <w:rFonts w:ascii="Arial" w:hAnsi="Arial" w:cs="Arial"/>
          <w:sz w:val="20"/>
          <w:szCs w:val="20"/>
        </w:rPr>
        <w:t xml:space="preserve"> masc</w:t>
      </w:r>
      <w:r w:rsidR="00BA4EF6">
        <w:rPr>
          <w:rFonts w:ascii="Arial" w:hAnsi="Arial" w:cs="Arial"/>
          <w:sz w:val="20"/>
          <w:szCs w:val="20"/>
        </w:rPr>
        <w:t>.)</w:t>
      </w:r>
      <w:r w:rsidRPr="00DB062B">
        <w:rPr>
          <w:rFonts w:ascii="Arial" w:hAnsi="Arial" w:cs="Arial"/>
          <w:sz w:val="20"/>
          <w:szCs w:val="20"/>
        </w:rPr>
        <w:t xml:space="preserve">. </w:t>
      </w:r>
    </w:p>
    <w:p w:rsidR="009B53B8" w:rsidRPr="00DB062B" w:rsidRDefault="009B53B8" w:rsidP="009B53B8">
      <w:pPr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5</w:t>
      </w:r>
      <w:r w:rsidRPr="00DB062B">
        <w:rPr>
          <w:rFonts w:ascii="Arial" w:hAnsi="Arial" w:cs="Arial"/>
          <w:b/>
          <w:sz w:val="20"/>
          <w:szCs w:val="20"/>
        </w:rPr>
        <w:t xml:space="preserve">.º </w:t>
      </w:r>
      <w:r w:rsidRPr="00DB062B">
        <w:rPr>
          <w:rFonts w:ascii="Arial" w:hAnsi="Arial" w:cs="Arial"/>
          <w:sz w:val="20"/>
          <w:szCs w:val="20"/>
        </w:rPr>
        <w:t>– Em caso de empate entre as equipes na classificação por naipe (clubes / municípios) estes são os critérios de desempate:</w:t>
      </w:r>
    </w:p>
    <w:p w:rsidR="009B53B8" w:rsidRPr="00DB062B" w:rsidRDefault="009B53B8" w:rsidP="009B53B8">
      <w:pPr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I – Maior número de primeiros lugares no respectivo naipe;</w:t>
      </w:r>
    </w:p>
    <w:p w:rsidR="009B53B8" w:rsidRPr="00DB062B" w:rsidRDefault="009B53B8" w:rsidP="009B53B8">
      <w:pPr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II – Maior número de segundos lugares no respectivo naipe;</w:t>
      </w:r>
    </w:p>
    <w:p w:rsidR="009B53B8" w:rsidRPr="00DB062B" w:rsidRDefault="009B53B8" w:rsidP="009B53B8">
      <w:pPr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III – Maior número de terceiros lugares no respectivo naipe;</w:t>
      </w:r>
    </w:p>
    <w:p w:rsidR="009B53B8" w:rsidRPr="00DB062B" w:rsidRDefault="009B53B8" w:rsidP="009B53B8">
      <w:pPr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IV – Sorteio;</w:t>
      </w:r>
    </w:p>
    <w:p w:rsidR="009B53B8" w:rsidRDefault="009B53B8" w:rsidP="009B53B8">
      <w:pPr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9B53B8" w:rsidRPr="00DB062B" w:rsidRDefault="009B53B8" w:rsidP="009B53B8">
      <w:pPr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  <w:r w:rsidRPr="00DB062B">
        <w:rPr>
          <w:rFonts w:ascii="Arial" w:hAnsi="Arial" w:cs="Arial"/>
          <w:b/>
          <w:sz w:val="20"/>
          <w:szCs w:val="20"/>
        </w:rPr>
        <w:t xml:space="preserve">.º </w:t>
      </w:r>
      <w:r w:rsidRPr="00DB062B">
        <w:rPr>
          <w:rFonts w:ascii="Arial" w:hAnsi="Arial" w:cs="Arial"/>
          <w:sz w:val="20"/>
          <w:szCs w:val="20"/>
        </w:rPr>
        <w:t>– Em caso de empate entre as equipes na classificação geral (clubes / municípios) estes são os critérios de desempate:</w:t>
      </w:r>
    </w:p>
    <w:p w:rsidR="009B53B8" w:rsidRPr="00DB062B" w:rsidRDefault="009B53B8" w:rsidP="009B53B8">
      <w:pPr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I – Maior número de primeiros lugares em todas as categorias;</w:t>
      </w:r>
    </w:p>
    <w:p w:rsidR="009B53B8" w:rsidRPr="00DB062B" w:rsidRDefault="009B53B8" w:rsidP="009B53B8">
      <w:pPr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II – Maior número de primeiros lugares nas categorias Absoluto;</w:t>
      </w:r>
    </w:p>
    <w:p w:rsidR="009B53B8" w:rsidRPr="00DB062B" w:rsidRDefault="009B53B8" w:rsidP="009B53B8">
      <w:pPr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III - Maior número de primeiros lugares nas categorias Feminino;</w:t>
      </w:r>
    </w:p>
    <w:p w:rsidR="009B53B8" w:rsidRPr="00DB062B" w:rsidRDefault="009B53B8" w:rsidP="009B53B8">
      <w:pPr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IV – Maior número de segundos lugares em todas as categorias;</w:t>
      </w:r>
    </w:p>
    <w:p w:rsidR="009B53B8" w:rsidRPr="00DB062B" w:rsidRDefault="009B53B8" w:rsidP="009B53B8">
      <w:pPr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lastRenderedPageBreak/>
        <w:t>V – Maior número de terceiros lugares em todas as categorias;</w:t>
      </w:r>
    </w:p>
    <w:p w:rsidR="009B53B8" w:rsidRPr="00DB062B" w:rsidRDefault="009B53B8" w:rsidP="009B53B8">
      <w:pPr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VI – Sorteio</w:t>
      </w:r>
    </w:p>
    <w:p w:rsidR="009B53B8" w:rsidRDefault="009B53B8" w:rsidP="009B53B8">
      <w:pPr>
        <w:spacing w:after="120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9B53B8" w:rsidRPr="00DB062B" w:rsidRDefault="009B53B8" w:rsidP="009B53B8">
      <w:pPr>
        <w:spacing w:after="120"/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  <w:r w:rsidRPr="00DB062B">
        <w:rPr>
          <w:rFonts w:ascii="Arial" w:hAnsi="Arial" w:cs="Arial"/>
          <w:b/>
          <w:sz w:val="20"/>
          <w:szCs w:val="20"/>
        </w:rPr>
        <w:t xml:space="preserve">.º </w:t>
      </w:r>
      <w:r w:rsidRPr="00DB062B">
        <w:rPr>
          <w:rFonts w:ascii="Arial" w:hAnsi="Arial" w:cs="Arial"/>
          <w:sz w:val="20"/>
          <w:szCs w:val="20"/>
        </w:rPr>
        <w:t>– Caso municípios participem com mais de um clube, a pontuação a que se refere o § 2.º deste artigo, não será somada ao município, e sim por denominação de clube / município inscrito.</w:t>
      </w:r>
    </w:p>
    <w:p w:rsidR="009B53B8" w:rsidRPr="00DB062B" w:rsidRDefault="009B53B8" w:rsidP="009B53B8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  <w:r w:rsidRPr="00DB062B">
        <w:rPr>
          <w:rFonts w:ascii="Arial" w:hAnsi="Arial" w:cs="Arial"/>
          <w:b/>
          <w:sz w:val="20"/>
          <w:szCs w:val="20"/>
        </w:rPr>
        <w:t xml:space="preserve">.º </w:t>
      </w:r>
      <w:r w:rsidRPr="00DB062B">
        <w:rPr>
          <w:rFonts w:ascii="Arial" w:hAnsi="Arial" w:cs="Arial"/>
          <w:sz w:val="20"/>
          <w:szCs w:val="20"/>
        </w:rPr>
        <w:t xml:space="preserve">– Jogadores participantes como “avulso(a)” não somam pontos para clube/município algum. </w:t>
      </w:r>
    </w:p>
    <w:p w:rsidR="009B53B8" w:rsidRPr="00DB062B" w:rsidRDefault="009B53B8" w:rsidP="009B53B8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9.º</w:t>
      </w:r>
      <w:r w:rsidRPr="00DB062B">
        <w:rPr>
          <w:rFonts w:ascii="Arial" w:hAnsi="Arial" w:cs="Arial"/>
          <w:b/>
          <w:sz w:val="20"/>
          <w:szCs w:val="20"/>
        </w:rPr>
        <w:t xml:space="preserve"> </w:t>
      </w:r>
      <w:r w:rsidRPr="00DB062B">
        <w:rPr>
          <w:rFonts w:ascii="Arial" w:hAnsi="Arial" w:cs="Arial"/>
          <w:sz w:val="20"/>
          <w:szCs w:val="20"/>
        </w:rPr>
        <w:t xml:space="preserve">– Após </w:t>
      </w:r>
      <w:r>
        <w:rPr>
          <w:rFonts w:ascii="Arial" w:hAnsi="Arial" w:cs="Arial"/>
          <w:sz w:val="20"/>
          <w:szCs w:val="20"/>
        </w:rPr>
        <w:t>o</w:t>
      </w:r>
      <w:r w:rsidRPr="00DB062B">
        <w:rPr>
          <w:rFonts w:ascii="Arial" w:hAnsi="Arial" w:cs="Arial"/>
          <w:sz w:val="20"/>
          <w:szCs w:val="20"/>
        </w:rPr>
        <w:t xml:space="preserve"> </w:t>
      </w:r>
      <w:r w:rsidR="00BA4EF6">
        <w:rPr>
          <w:rFonts w:ascii="Arial" w:hAnsi="Arial" w:cs="Arial"/>
          <w:sz w:val="20"/>
          <w:szCs w:val="20"/>
        </w:rPr>
        <w:t>início</w:t>
      </w:r>
      <w:r>
        <w:rPr>
          <w:rFonts w:ascii="Arial" w:hAnsi="Arial" w:cs="Arial"/>
          <w:sz w:val="20"/>
          <w:szCs w:val="20"/>
        </w:rPr>
        <w:t xml:space="preserve"> da </w:t>
      </w:r>
      <w:r w:rsidRPr="00DB062B">
        <w:rPr>
          <w:rFonts w:ascii="Arial" w:hAnsi="Arial" w:cs="Arial"/>
          <w:sz w:val="20"/>
          <w:szCs w:val="20"/>
        </w:rPr>
        <w:t xml:space="preserve">primeira rodada os enxadristas não poderão mudar o município / clube que estão representando. </w:t>
      </w:r>
    </w:p>
    <w:p w:rsidR="009B53B8" w:rsidRPr="00DB062B" w:rsidRDefault="009B53B8" w:rsidP="009B53B8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0</w:t>
      </w:r>
      <w:r w:rsidRPr="00DB062B">
        <w:rPr>
          <w:rFonts w:ascii="Arial" w:hAnsi="Arial" w:cs="Arial"/>
          <w:sz w:val="20"/>
          <w:szCs w:val="20"/>
        </w:rPr>
        <w:t xml:space="preserve"> – </w:t>
      </w:r>
      <w:r w:rsidRPr="00DB062B">
        <w:rPr>
          <w:rFonts w:ascii="Arial" w:hAnsi="Arial" w:cs="Arial"/>
          <w:b/>
          <w:sz w:val="20"/>
          <w:szCs w:val="20"/>
        </w:rPr>
        <w:t xml:space="preserve">Os enxadristas participantes das etapas finais </w:t>
      </w:r>
      <w:r>
        <w:rPr>
          <w:rFonts w:ascii="Arial" w:hAnsi="Arial" w:cs="Arial"/>
          <w:b/>
          <w:sz w:val="20"/>
          <w:szCs w:val="20"/>
        </w:rPr>
        <w:t>NÃO</w:t>
      </w:r>
      <w:r w:rsidRPr="00DB06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precisam </w:t>
      </w:r>
      <w:r w:rsidRPr="00DB062B">
        <w:rPr>
          <w:rFonts w:ascii="Arial" w:hAnsi="Arial" w:cs="Arial"/>
          <w:b/>
          <w:sz w:val="20"/>
          <w:szCs w:val="20"/>
        </w:rPr>
        <w:t>estar em dia com a anuidade CBX 201</w:t>
      </w:r>
      <w:r w:rsidR="00BA4EF6">
        <w:rPr>
          <w:rFonts w:ascii="Arial" w:hAnsi="Arial" w:cs="Arial"/>
          <w:b/>
          <w:sz w:val="20"/>
          <w:szCs w:val="20"/>
        </w:rPr>
        <w:t>9</w:t>
      </w:r>
      <w:r w:rsidRPr="00DB062B">
        <w:rPr>
          <w:rFonts w:ascii="Arial" w:hAnsi="Arial" w:cs="Arial"/>
          <w:sz w:val="20"/>
          <w:szCs w:val="20"/>
        </w:rPr>
        <w:t>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3.º</w:t>
      </w:r>
      <w:r w:rsidRPr="00DB062B">
        <w:rPr>
          <w:rFonts w:ascii="Arial" w:hAnsi="Arial" w:cs="Arial"/>
          <w:sz w:val="20"/>
          <w:szCs w:val="20"/>
        </w:rPr>
        <w:t xml:space="preserve"> - Poderão Participar dos Campeonatos Paranaenses mencionados no ART. 2.º todos os enxadristas que cumprirem os requisitos de idade e demais disposições deste regulamento, bem como quitarem as taxas devidas a essa participação.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4.º</w:t>
      </w:r>
      <w:r w:rsidRPr="00DB062B">
        <w:rPr>
          <w:rFonts w:ascii="Arial" w:hAnsi="Arial" w:cs="Arial"/>
          <w:sz w:val="20"/>
          <w:szCs w:val="20"/>
        </w:rPr>
        <w:t xml:space="preserve"> - Na fase final de cada campeonato relacionado no ART. 2.º, somente poderá participar o/a enxadrista regularmente cadastrado/a na FEXPAR, devendo o seu nome constar na listagem dos enxadristas no cadastro CBX de 201</w:t>
      </w:r>
      <w:r w:rsidR="00BA4EF6">
        <w:rPr>
          <w:rFonts w:ascii="Arial" w:hAnsi="Arial" w:cs="Arial"/>
          <w:sz w:val="20"/>
          <w:szCs w:val="20"/>
        </w:rPr>
        <w:t>9</w:t>
      </w:r>
      <w:r w:rsidRPr="00DB062B">
        <w:rPr>
          <w:rFonts w:ascii="Arial" w:hAnsi="Arial" w:cs="Arial"/>
          <w:sz w:val="20"/>
          <w:szCs w:val="20"/>
        </w:rPr>
        <w:t xml:space="preserve"> inscrito pelo Estado do Paraná até a data da competição e no caso FIDE deve estar inscrito pelo Brasil (BRA).</w:t>
      </w:r>
    </w:p>
    <w:p w:rsidR="009B53B8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53B8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53B8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062B">
        <w:rPr>
          <w:rFonts w:ascii="Arial" w:hAnsi="Arial" w:cs="Arial"/>
          <w:b/>
          <w:sz w:val="20"/>
          <w:szCs w:val="20"/>
          <w:u w:val="single"/>
        </w:rPr>
        <w:t>III – DAS FASES CLASSIFICATÓRIAS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5.º</w:t>
      </w:r>
      <w:r w:rsidRPr="00DB062B">
        <w:rPr>
          <w:rFonts w:ascii="Arial" w:hAnsi="Arial" w:cs="Arial"/>
          <w:sz w:val="20"/>
          <w:szCs w:val="20"/>
        </w:rPr>
        <w:t xml:space="preserve"> - Cada um dos Campeonatos de que trata este regulamento será realizado em fase classificatória e final.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6.º</w:t>
      </w:r>
      <w:r w:rsidRPr="00DB062B">
        <w:rPr>
          <w:rFonts w:ascii="Arial" w:hAnsi="Arial" w:cs="Arial"/>
          <w:sz w:val="20"/>
          <w:szCs w:val="20"/>
        </w:rPr>
        <w:t xml:space="preserve"> - A Fase Classificatória de cada campeonato será composta pelas seletivas regionais.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7.º</w:t>
      </w:r>
      <w:r w:rsidRPr="00DB062B">
        <w:rPr>
          <w:rFonts w:ascii="Arial" w:hAnsi="Arial" w:cs="Arial"/>
          <w:sz w:val="20"/>
          <w:szCs w:val="20"/>
        </w:rPr>
        <w:t xml:space="preserve"> - A participação dos enxadristas nas respectivas categorias nas etapas regionais não está vinculada à sua atuação ou residência na respectiva região, podendo cada enxadrista participar de uma ou mais seletivas regionais dos campeonatos, cumpridas as condições regulamentares.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8.º</w:t>
      </w:r>
      <w:r w:rsidRPr="00DB062B">
        <w:rPr>
          <w:rFonts w:ascii="Arial" w:hAnsi="Arial" w:cs="Arial"/>
          <w:sz w:val="20"/>
          <w:szCs w:val="20"/>
        </w:rPr>
        <w:t xml:space="preserve"> - A seletiva regional de cada torneio classificará para a fase final de cada campeonato correspondente:</w:t>
      </w:r>
    </w:p>
    <w:p w:rsidR="009B53B8" w:rsidRPr="00DB062B" w:rsidRDefault="009B53B8" w:rsidP="009B53B8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Um (01) enxadrista a cada cinco (5) participantes (ou fração) da respectiva categoria para evento organizado por clubes filiados; e</w:t>
      </w:r>
    </w:p>
    <w:p w:rsidR="009B53B8" w:rsidRPr="00DB062B" w:rsidRDefault="009B53B8" w:rsidP="009B53B8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Um (01) enxadrista a cada dez (10) participantes (ou fração) da respectiva categoria, para evento organizado por clubes não filiados.</w:t>
      </w:r>
    </w:p>
    <w:p w:rsidR="009B53B8" w:rsidRPr="00DB062B" w:rsidRDefault="009B53B8" w:rsidP="009B53B8">
      <w:pPr>
        <w:spacing w:after="120"/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 xml:space="preserve">Parágrafo único </w:t>
      </w:r>
      <w:r w:rsidRPr="00DB062B">
        <w:rPr>
          <w:rFonts w:ascii="Arial" w:hAnsi="Arial" w:cs="Arial"/>
          <w:sz w:val="20"/>
          <w:szCs w:val="20"/>
        </w:rPr>
        <w:t>– Cada Clube Filiado e em dia com a anuidade 201</w:t>
      </w:r>
      <w:r>
        <w:rPr>
          <w:rFonts w:ascii="Arial" w:hAnsi="Arial" w:cs="Arial"/>
          <w:sz w:val="20"/>
          <w:szCs w:val="20"/>
        </w:rPr>
        <w:t>8</w:t>
      </w:r>
      <w:r w:rsidRPr="00DB062B">
        <w:rPr>
          <w:rFonts w:ascii="Arial" w:hAnsi="Arial" w:cs="Arial"/>
          <w:sz w:val="20"/>
          <w:szCs w:val="20"/>
        </w:rPr>
        <w:t xml:space="preserve"> poderá realizar uma etapa classificatória. 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9.º</w:t>
      </w:r>
      <w:r w:rsidRPr="00DB062B">
        <w:rPr>
          <w:rFonts w:ascii="Arial" w:hAnsi="Arial" w:cs="Arial"/>
          <w:sz w:val="20"/>
          <w:szCs w:val="20"/>
        </w:rPr>
        <w:t xml:space="preserve"> - Terão direito a participar diretamente da fase final de 201</w:t>
      </w:r>
      <w:r>
        <w:rPr>
          <w:rFonts w:ascii="Arial" w:hAnsi="Arial" w:cs="Arial"/>
          <w:sz w:val="20"/>
          <w:szCs w:val="20"/>
        </w:rPr>
        <w:t>8</w:t>
      </w:r>
      <w:r w:rsidRPr="00DB062B">
        <w:rPr>
          <w:rFonts w:ascii="Arial" w:hAnsi="Arial" w:cs="Arial"/>
          <w:sz w:val="20"/>
          <w:szCs w:val="20"/>
        </w:rPr>
        <w:t>, dentro da respectiva categoria:</w:t>
      </w:r>
    </w:p>
    <w:p w:rsidR="009B53B8" w:rsidRDefault="009B53B8" w:rsidP="009B53B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Os portadores de rating FIDE de Xadrez Convencional na lista de março de 201</w:t>
      </w:r>
      <w:r w:rsidR="00BA4EF6">
        <w:rPr>
          <w:rFonts w:ascii="Arial" w:hAnsi="Arial" w:cs="Arial"/>
          <w:sz w:val="20"/>
          <w:szCs w:val="20"/>
        </w:rPr>
        <w:t>9</w:t>
      </w:r>
      <w:r w:rsidRPr="00DB062B">
        <w:rPr>
          <w:rFonts w:ascii="Arial" w:hAnsi="Arial" w:cs="Arial"/>
          <w:sz w:val="20"/>
          <w:szCs w:val="20"/>
        </w:rPr>
        <w:t xml:space="preserve"> com rating igual ou superior a 1700.</w:t>
      </w:r>
    </w:p>
    <w:p w:rsidR="009B53B8" w:rsidRPr="00DB062B" w:rsidRDefault="009B53B8" w:rsidP="009B53B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Os campeões do Festival Paranaense de Menores em cada uma das categorias Sub </w:t>
      </w:r>
      <w:smartTag w:uri="urn:schemas-microsoft-com:office:smarttags" w:element="metricconverter">
        <w:smartTagPr>
          <w:attr w:name="ProductID" w:val="08 a"/>
        </w:smartTagPr>
        <w:r w:rsidRPr="00DB062B">
          <w:rPr>
            <w:rFonts w:ascii="Arial" w:hAnsi="Arial" w:cs="Arial"/>
            <w:sz w:val="20"/>
            <w:szCs w:val="20"/>
          </w:rPr>
          <w:t>08 a</w:t>
        </w:r>
      </w:smartTag>
      <w:r w:rsidRPr="00DB062B">
        <w:rPr>
          <w:rFonts w:ascii="Arial" w:hAnsi="Arial" w:cs="Arial"/>
          <w:sz w:val="20"/>
          <w:szCs w:val="20"/>
        </w:rPr>
        <w:t xml:space="preserve"> Sub 18 do ano de 201</w:t>
      </w:r>
      <w:r w:rsidR="00BA4EF6">
        <w:rPr>
          <w:rFonts w:ascii="Arial" w:hAnsi="Arial" w:cs="Arial"/>
          <w:sz w:val="20"/>
          <w:szCs w:val="20"/>
        </w:rPr>
        <w:t>8</w:t>
      </w:r>
      <w:r w:rsidRPr="00DB062B">
        <w:rPr>
          <w:rFonts w:ascii="Arial" w:hAnsi="Arial" w:cs="Arial"/>
          <w:sz w:val="20"/>
          <w:szCs w:val="20"/>
        </w:rPr>
        <w:t>;</w:t>
      </w:r>
    </w:p>
    <w:p w:rsidR="009B53B8" w:rsidRDefault="009B53B8" w:rsidP="009B53B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lastRenderedPageBreak/>
        <w:t>Os campeões, vice-campeões e terceiros lugares de cada uma das categorias menores apuradas (ou jogador seguinte quando for o caso) no Circuito de Xadrez Rápido dos Campos Gerais – 201</w:t>
      </w:r>
      <w:r w:rsidR="00BA4EF6">
        <w:rPr>
          <w:rFonts w:ascii="Arial" w:hAnsi="Arial" w:cs="Arial"/>
          <w:sz w:val="20"/>
          <w:szCs w:val="20"/>
        </w:rPr>
        <w:t>8</w:t>
      </w:r>
      <w:r w:rsidRPr="00DB062B">
        <w:rPr>
          <w:rFonts w:ascii="Arial" w:hAnsi="Arial" w:cs="Arial"/>
          <w:sz w:val="20"/>
          <w:szCs w:val="20"/>
        </w:rPr>
        <w:t>.</w:t>
      </w:r>
    </w:p>
    <w:p w:rsidR="009B53B8" w:rsidRPr="00DB062B" w:rsidRDefault="009B53B8" w:rsidP="009B53B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Os Campeões Paranaenses de Xadrez Relâmpago Sub 08 a Sub 18, ou jogador seguinte, quando for o caso.</w:t>
      </w:r>
    </w:p>
    <w:p w:rsidR="009B53B8" w:rsidRPr="00DB062B" w:rsidRDefault="009B53B8" w:rsidP="009B53B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Os Campeões de cada categoria d</w:t>
      </w:r>
      <w:r>
        <w:rPr>
          <w:rFonts w:ascii="Arial" w:hAnsi="Arial" w:cs="Arial"/>
          <w:sz w:val="20"/>
          <w:szCs w:val="20"/>
        </w:rPr>
        <w:t>o</w:t>
      </w:r>
      <w:r w:rsidRPr="00DB06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Desafio Xeque-Mate</w:t>
      </w:r>
      <w:r w:rsidRPr="00DB062B">
        <w:rPr>
          <w:rFonts w:ascii="Arial" w:hAnsi="Arial" w:cs="Arial"/>
          <w:sz w:val="20"/>
          <w:szCs w:val="20"/>
        </w:rPr>
        <w:t xml:space="preserve"> 201</w:t>
      </w:r>
      <w:r w:rsidR="00BA4EF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ou jogador seguinte quando for o caso. </w:t>
      </w:r>
      <w:r w:rsidRPr="00DB062B">
        <w:rPr>
          <w:rFonts w:ascii="Arial" w:hAnsi="Arial" w:cs="Arial"/>
          <w:sz w:val="20"/>
          <w:szCs w:val="20"/>
        </w:rPr>
        <w:t xml:space="preserve"> </w:t>
      </w:r>
    </w:p>
    <w:p w:rsidR="009B53B8" w:rsidRDefault="009B53B8" w:rsidP="009B53B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O melhor colocado em cada categoria (ou o jogador seguinte quando for o caso) nos Campeonatos Paranaense Absoluto e Feminino. </w:t>
      </w:r>
    </w:p>
    <w:p w:rsidR="009B53B8" w:rsidRDefault="009B53B8" w:rsidP="009B53B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campeões e vices de cada categoria do Circuito Pé Vermelho, </w:t>
      </w:r>
      <w:r w:rsidRPr="00DB062B">
        <w:rPr>
          <w:rFonts w:ascii="Arial" w:hAnsi="Arial" w:cs="Arial"/>
          <w:sz w:val="20"/>
          <w:szCs w:val="20"/>
        </w:rPr>
        <w:t>ou o jogador seguinte quando for o caso</w:t>
      </w:r>
      <w:r>
        <w:rPr>
          <w:rFonts w:ascii="Arial" w:hAnsi="Arial" w:cs="Arial"/>
          <w:sz w:val="20"/>
          <w:szCs w:val="20"/>
        </w:rPr>
        <w:t>;</w:t>
      </w:r>
    </w:p>
    <w:p w:rsidR="009B53B8" w:rsidRDefault="009B53B8" w:rsidP="009B53B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campeões e vices de cada categoria do Circuito Municipal de Ponta Grossa, </w:t>
      </w:r>
      <w:r w:rsidRPr="00DB062B">
        <w:rPr>
          <w:rFonts w:ascii="Arial" w:hAnsi="Arial" w:cs="Arial"/>
          <w:sz w:val="20"/>
          <w:szCs w:val="20"/>
        </w:rPr>
        <w:t>ou o jogador seguinte quando for o caso</w:t>
      </w:r>
      <w:r>
        <w:rPr>
          <w:rFonts w:ascii="Arial" w:hAnsi="Arial" w:cs="Arial"/>
          <w:sz w:val="20"/>
          <w:szCs w:val="20"/>
        </w:rPr>
        <w:t>;</w:t>
      </w:r>
    </w:p>
    <w:p w:rsidR="009B53B8" w:rsidRDefault="009B53B8" w:rsidP="009B53B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campeões de cada categoria do Circuito Escolar CXC, </w:t>
      </w:r>
      <w:r w:rsidRPr="00DB062B">
        <w:rPr>
          <w:rFonts w:ascii="Arial" w:hAnsi="Arial" w:cs="Arial"/>
          <w:sz w:val="20"/>
          <w:szCs w:val="20"/>
        </w:rPr>
        <w:t>ou o jogador seguinte quando for o caso</w:t>
      </w:r>
      <w:r>
        <w:rPr>
          <w:rFonts w:ascii="Arial" w:hAnsi="Arial" w:cs="Arial"/>
          <w:sz w:val="20"/>
          <w:szCs w:val="20"/>
        </w:rPr>
        <w:t xml:space="preserve">; </w:t>
      </w:r>
    </w:p>
    <w:p w:rsidR="00AA29BB" w:rsidRDefault="00AA29BB" w:rsidP="00AA29B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campeões de cada categoria do </w:t>
      </w:r>
      <w:r w:rsidRPr="00AA29BB">
        <w:rPr>
          <w:rFonts w:ascii="Arial" w:hAnsi="Arial" w:cs="Arial"/>
          <w:sz w:val="20"/>
          <w:szCs w:val="20"/>
        </w:rPr>
        <w:t>Circuito Regional de Xadrez 2018</w:t>
      </w:r>
      <w:r>
        <w:rPr>
          <w:rFonts w:ascii="Arial" w:hAnsi="Arial" w:cs="Arial"/>
          <w:sz w:val="20"/>
          <w:szCs w:val="20"/>
        </w:rPr>
        <w:t xml:space="preserve"> (Cascavel), </w:t>
      </w:r>
      <w:r w:rsidRPr="00DB062B">
        <w:rPr>
          <w:rFonts w:ascii="Arial" w:hAnsi="Arial" w:cs="Arial"/>
          <w:sz w:val="20"/>
          <w:szCs w:val="20"/>
        </w:rPr>
        <w:t>ou o jogador seguinte quando for o caso</w:t>
      </w:r>
      <w:r>
        <w:rPr>
          <w:rFonts w:ascii="Arial" w:hAnsi="Arial" w:cs="Arial"/>
          <w:sz w:val="20"/>
          <w:szCs w:val="20"/>
        </w:rPr>
        <w:t xml:space="preserve">; </w:t>
      </w:r>
    </w:p>
    <w:p w:rsidR="00AA29BB" w:rsidRDefault="00AA29BB" w:rsidP="00AA29B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campeões de cada categoria</w:t>
      </w:r>
      <w:r w:rsidRPr="00AA29BB">
        <w:t xml:space="preserve"> </w:t>
      </w:r>
      <w:r w:rsidRPr="00AA29BB">
        <w:rPr>
          <w:rFonts w:ascii="Arial" w:hAnsi="Arial" w:cs="Arial"/>
          <w:sz w:val="20"/>
          <w:szCs w:val="20"/>
        </w:rPr>
        <w:t>Circuito Regional Escolar - CREXE</w:t>
      </w:r>
      <w:r>
        <w:rPr>
          <w:rFonts w:ascii="Arial" w:hAnsi="Arial" w:cs="Arial"/>
          <w:sz w:val="20"/>
          <w:szCs w:val="20"/>
        </w:rPr>
        <w:t xml:space="preserve">, </w:t>
      </w:r>
      <w:r w:rsidRPr="00DB062B">
        <w:rPr>
          <w:rFonts w:ascii="Arial" w:hAnsi="Arial" w:cs="Arial"/>
          <w:sz w:val="20"/>
          <w:szCs w:val="20"/>
        </w:rPr>
        <w:t>ou o jogador seguinte quando for o caso</w:t>
      </w:r>
    </w:p>
    <w:p w:rsidR="00AA29BB" w:rsidRDefault="00AA29BB" w:rsidP="00AA29BB">
      <w:pPr>
        <w:spacing w:after="120"/>
        <w:ind w:left="1065"/>
        <w:jc w:val="both"/>
        <w:rPr>
          <w:rFonts w:ascii="Arial" w:hAnsi="Arial" w:cs="Arial"/>
          <w:sz w:val="20"/>
          <w:szCs w:val="20"/>
        </w:rPr>
      </w:pPr>
    </w:p>
    <w:p w:rsidR="009B53B8" w:rsidRPr="00DB062B" w:rsidRDefault="009B53B8" w:rsidP="009B53B8">
      <w:pPr>
        <w:spacing w:after="120"/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Parágrafo único</w:t>
      </w:r>
      <w:r w:rsidRPr="00DB062B">
        <w:rPr>
          <w:rFonts w:ascii="Arial" w:hAnsi="Arial" w:cs="Arial"/>
          <w:sz w:val="20"/>
          <w:szCs w:val="20"/>
        </w:rPr>
        <w:t xml:space="preserve"> – Na situação em que o jogador com direito à vaga tenha superado o limite da idade estabelecido para a respectiva categoria, poderá o mesmo participar diretamente da final na categoria imediatamente superior. 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10</w:t>
      </w:r>
      <w:r w:rsidRPr="00DB062B">
        <w:rPr>
          <w:rFonts w:ascii="Arial" w:hAnsi="Arial" w:cs="Arial"/>
          <w:sz w:val="20"/>
          <w:szCs w:val="20"/>
        </w:rPr>
        <w:t xml:space="preserve"> – O organizador da fase final do Festival Paranaense de Menores tem o direito de indicar um enxadrista para participar de cada um dos eventos sob a sua responsabilidade.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11</w:t>
      </w:r>
      <w:r w:rsidRPr="00DB062B">
        <w:rPr>
          <w:rFonts w:ascii="Arial" w:hAnsi="Arial" w:cs="Arial"/>
          <w:sz w:val="20"/>
          <w:szCs w:val="20"/>
        </w:rPr>
        <w:t xml:space="preserve"> – Os Clubes Filiados à </w:t>
      </w:r>
      <w:proofErr w:type="spellStart"/>
      <w:r w:rsidRPr="00DB062B">
        <w:rPr>
          <w:rFonts w:ascii="Arial" w:hAnsi="Arial" w:cs="Arial"/>
          <w:sz w:val="20"/>
          <w:szCs w:val="20"/>
        </w:rPr>
        <w:t>Fexpar</w:t>
      </w:r>
      <w:proofErr w:type="spellEnd"/>
      <w:r w:rsidRPr="00DB062B">
        <w:rPr>
          <w:rFonts w:ascii="Arial" w:hAnsi="Arial" w:cs="Arial"/>
          <w:sz w:val="20"/>
          <w:szCs w:val="20"/>
        </w:rPr>
        <w:t>, em dia com as suas obrigações em 201</w:t>
      </w:r>
      <w:r>
        <w:rPr>
          <w:rFonts w:ascii="Arial" w:hAnsi="Arial" w:cs="Arial"/>
          <w:sz w:val="20"/>
          <w:szCs w:val="20"/>
        </w:rPr>
        <w:t>8</w:t>
      </w:r>
      <w:r w:rsidRPr="00DB062B">
        <w:rPr>
          <w:rFonts w:ascii="Arial" w:hAnsi="Arial" w:cs="Arial"/>
          <w:sz w:val="20"/>
          <w:szCs w:val="20"/>
        </w:rPr>
        <w:t xml:space="preserve">, poderão indicar um (1) enxadrista por categoria. </w:t>
      </w:r>
    </w:p>
    <w:p w:rsidR="009B53B8" w:rsidRPr="00DB062B" w:rsidRDefault="009B53B8" w:rsidP="009B53B8">
      <w:pPr>
        <w:spacing w:after="120"/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Parágrafo único</w:t>
      </w:r>
      <w:r w:rsidRPr="00DB062B">
        <w:rPr>
          <w:rFonts w:ascii="Arial" w:hAnsi="Arial" w:cs="Arial"/>
          <w:sz w:val="20"/>
          <w:szCs w:val="20"/>
        </w:rPr>
        <w:t xml:space="preserve"> – O Clube filiado que fizer uso da indicação de que trata o “caput” deverá encaminhar à FEXPAR as indicações com antecedência mínima de cinco dias antes da realização da fase final (prazo final para indicação </w:t>
      </w:r>
      <w:r w:rsidR="00AA29BB">
        <w:rPr>
          <w:rFonts w:ascii="Arial" w:hAnsi="Arial" w:cs="Arial"/>
          <w:sz w:val="20"/>
          <w:szCs w:val="20"/>
        </w:rPr>
        <w:t>31</w:t>
      </w:r>
      <w:r w:rsidRPr="00DB062B">
        <w:rPr>
          <w:rFonts w:ascii="Arial" w:hAnsi="Arial" w:cs="Arial"/>
          <w:sz w:val="20"/>
          <w:szCs w:val="20"/>
        </w:rPr>
        <w:t xml:space="preserve"> de março).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12</w:t>
      </w:r>
      <w:r w:rsidRPr="00DB062B">
        <w:rPr>
          <w:rFonts w:ascii="Arial" w:hAnsi="Arial" w:cs="Arial"/>
          <w:sz w:val="20"/>
          <w:szCs w:val="20"/>
        </w:rPr>
        <w:t xml:space="preserve"> – A </w:t>
      </w:r>
      <w:proofErr w:type="spellStart"/>
      <w:r w:rsidRPr="00DB062B">
        <w:rPr>
          <w:rFonts w:ascii="Arial" w:hAnsi="Arial" w:cs="Arial"/>
          <w:sz w:val="20"/>
          <w:szCs w:val="20"/>
        </w:rPr>
        <w:t>Fexpar</w:t>
      </w:r>
      <w:proofErr w:type="spellEnd"/>
      <w:r w:rsidRPr="00DB062B">
        <w:rPr>
          <w:rFonts w:ascii="Arial" w:hAnsi="Arial" w:cs="Arial"/>
          <w:sz w:val="20"/>
          <w:szCs w:val="20"/>
        </w:rPr>
        <w:t xml:space="preserve"> poderá indicar enxadristas para participarem diretamente na fase final dos Campeonatos Paranaenses de Menores, devidamente justificados com base no desempenho técnico em competições estaduais e/ou nacionais, ou ainda por consenso dos membros da diretoria da </w:t>
      </w:r>
      <w:proofErr w:type="spellStart"/>
      <w:r w:rsidRPr="00DB062B">
        <w:rPr>
          <w:rFonts w:ascii="Arial" w:hAnsi="Arial" w:cs="Arial"/>
          <w:sz w:val="20"/>
          <w:szCs w:val="20"/>
        </w:rPr>
        <w:t>Fexpar</w:t>
      </w:r>
      <w:proofErr w:type="spellEnd"/>
      <w:r w:rsidRPr="00DB062B">
        <w:rPr>
          <w:rFonts w:ascii="Arial" w:hAnsi="Arial" w:cs="Arial"/>
          <w:sz w:val="20"/>
          <w:szCs w:val="20"/>
        </w:rPr>
        <w:t xml:space="preserve">. 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13</w:t>
      </w:r>
      <w:r w:rsidRPr="00DB062B">
        <w:rPr>
          <w:rFonts w:ascii="Arial" w:hAnsi="Arial" w:cs="Arial"/>
          <w:sz w:val="20"/>
          <w:szCs w:val="20"/>
        </w:rPr>
        <w:t xml:space="preserve"> – Caso um enxadrista com direito a participar diretamente da fase final, por ter sido campeão em 201</w:t>
      </w:r>
      <w:r w:rsidR="00AA29BB">
        <w:rPr>
          <w:rFonts w:ascii="Arial" w:hAnsi="Arial" w:cs="Arial"/>
          <w:sz w:val="20"/>
          <w:szCs w:val="20"/>
        </w:rPr>
        <w:t>8</w:t>
      </w:r>
      <w:r w:rsidRPr="00DB062B">
        <w:rPr>
          <w:rFonts w:ascii="Arial" w:hAnsi="Arial" w:cs="Arial"/>
          <w:sz w:val="20"/>
          <w:szCs w:val="20"/>
        </w:rPr>
        <w:t xml:space="preserve"> ou de acordo com o ART.º 9.º, participe de etapa regional e obtenha no torneio colocação correspondente a uma vaga para a fase final, esta será desconsiderada, ficando o direito à vaga para a final para o competidor seguinte da lista de colocados. 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14</w:t>
      </w:r>
      <w:r w:rsidRPr="00DB062B">
        <w:rPr>
          <w:rFonts w:ascii="Arial" w:hAnsi="Arial" w:cs="Arial"/>
          <w:sz w:val="20"/>
          <w:szCs w:val="20"/>
        </w:rPr>
        <w:t xml:space="preserve"> – Se um enxadrista classificado para a fase final não comparecer à mesma, a vaga não poderá ser ocupada por outro enxadrista.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15</w:t>
      </w:r>
      <w:r w:rsidRPr="00DB062B">
        <w:rPr>
          <w:rFonts w:ascii="Arial" w:hAnsi="Arial" w:cs="Arial"/>
          <w:sz w:val="20"/>
          <w:szCs w:val="20"/>
        </w:rPr>
        <w:t xml:space="preserve"> – Caso um enxadrista obtenha classificação para a fase final em mais de uma etapa classificatória ou outro evento classificatório, será designado ao mesmo a vaga referente ao primeiro evento, em ordem cronológica de realização, liberando a(s) vaga(s) em evento(s) posteriores. 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  <w:u w:val="single"/>
        </w:rPr>
        <w:t>IV – DA REALIZAÇÃO TÉCNICA DAS SELETIVAS REGIONAIS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16</w:t>
      </w:r>
      <w:r w:rsidRPr="00DB062B">
        <w:rPr>
          <w:rFonts w:ascii="Arial" w:hAnsi="Arial" w:cs="Arial"/>
          <w:sz w:val="20"/>
          <w:szCs w:val="20"/>
        </w:rPr>
        <w:t xml:space="preserve"> – Cada seletiva regional será </w:t>
      </w:r>
      <w:proofErr w:type="gramStart"/>
      <w:r w:rsidRPr="00DB062B">
        <w:rPr>
          <w:rFonts w:ascii="Arial" w:hAnsi="Arial" w:cs="Arial"/>
          <w:sz w:val="20"/>
          <w:szCs w:val="20"/>
        </w:rPr>
        <w:t>realizada</w:t>
      </w:r>
      <w:proofErr w:type="gramEnd"/>
      <w:r w:rsidRPr="00DB062B">
        <w:rPr>
          <w:rFonts w:ascii="Arial" w:hAnsi="Arial" w:cs="Arial"/>
          <w:sz w:val="20"/>
          <w:szCs w:val="20"/>
        </w:rPr>
        <w:t xml:space="preserve"> em no máximo dois dias, com tempo de jogo de no mínimo 15 min./K.O. e no máximo 30 min./K.O. (ou semelhante tempo com acréscimo nos </w:t>
      </w:r>
      <w:r w:rsidRPr="00DB062B">
        <w:rPr>
          <w:rFonts w:ascii="Arial" w:hAnsi="Arial" w:cs="Arial"/>
          <w:sz w:val="20"/>
          <w:szCs w:val="20"/>
        </w:rPr>
        <w:lastRenderedPageBreak/>
        <w:t>relógios digitais) para cada jogador, a critério dos respectivos organizador, obedecendo-se o regulamento de Xadrez Rápido da FIDE.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 xml:space="preserve">Parágrafo único </w:t>
      </w:r>
      <w:r w:rsidRPr="00DB062B">
        <w:rPr>
          <w:rFonts w:ascii="Arial" w:hAnsi="Arial" w:cs="Arial"/>
          <w:sz w:val="20"/>
          <w:szCs w:val="20"/>
        </w:rPr>
        <w:t xml:space="preserve">– As fases regionais poderão ser realizadas até o dia </w:t>
      </w:r>
      <w:r w:rsidR="00AA29BB">
        <w:rPr>
          <w:rFonts w:ascii="Arial" w:hAnsi="Arial" w:cs="Arial"/>
          <w:sz w:val="20"/>
          <w:szCs w:val="20"/>
        </w:rPr>
        <w:t>31</w:t>
      </w:r>
      <w:r w:rsidRPr="00DB062B">
        <w:rPr>
          <w:rFonts w:ascii="Arial" w:hAnsi="Arial" w:cs="Arial"/>
          <w:sz w:val="20"/>
          <w:szCs w:val="20"/>
        </w:rPr>
        <w:t xml:space="preserve"> de março de 201</w:t>
      </w:r>
      <w:r>
        <w:rPr>
          <w:rFonts w:ascii="Arial" w:hAnsi="Arial" w:cs="Arial"/>
          <w:sz w:val="20"/>
          <w:szCs w:val="20"/>
        </w:rPr>
        <w:t>8</w:t>
      </w:r>
      <w:r w:rsidRPr="00DB062B">
        <w:rPr>
          <w:rFonts w:ascii="Arial" w:hAnsi="Arial" w:cs="Arial"/>
          <w:sz w:val="20"/>
          <w:szCs w:val="20"/>
        </w:rPr>
        <w:t>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17</w:t>
      </w:r>
      <w:r w:rsidRPr="00DB062B">
        <w:rPr>
          <w:rFonts w:ascii="Arial" w:hAnsi="Arial" w:cs="Arial"/>
          <w:sz w:val="20"/>
          <w:szCs w:val="20"/>
        </w:rPr>
        <w:t xml:space="preserve"> – O número de rodadas, critérios de desempate e o sistema de emparceiramento da seletiva regional serão fixados pelo respectivo organizador com a anuência da FEXPAR.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 xml:space="preserve">Parágrafo único – </w:t>
      </w:r>
      <w:r w:rsidRPr="00DB062B">
        <w:rPr>
          <w:rFonts w:ascii="Arial" w:hAnsi="Arial" w:cs="Arial"/>
          <w:sz w:val="20"/>
          <w:szCs w:val="20"/>
        </w:rPr>
        <w:t xml:space="preserve">O organizador da regional deverá encaminhar regulamento da etapa classificatória para FEXPAR contendo no mínimo tempo de reflexão, número de rodadas, critérios de desempate, equipe de arbitragem e software a ser utilizado. 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18</w:t>
      </w:r>
      <w:r w:rsidRPr="00DB062B">
        <w:rPr>
          <w:rFonts w:ascii="Arial" w:hAnsi="Arial" w:cs="Arial"/>
          <w:sz w:val="20"/>
          <w:szCs w:val="20"/>
        </w:rPr>
        <w:t xml:space="preserve"> – Deverá ser remetido à FEXPAR pelo organizador </w:t>
      </w:r>
      <w:r w:rsidR="006A68F1">
        <w:rPr>
          <w:rFonts w:ascii="Arial" w:hAnsi="Arial" w:cs="Arial"/>
          <w:sz w:val="20"/>
          <w:szCs w:val="20"/>
        </w:rPr>
        <w:t>em meio eletrônico, dentro de 48</w:t>
      </w:r>
      <w:r w:rsidRPr="00DB062B">
        <w:rPr>
          <w:rFonts w:ascii="Arial" w:hAnsi="Arial" w:cs="Arial"/>
          <w:sz w:val="20"/>
          <w:szCs w:val="20"/>
        </w:rPr>
        <w:t xml:space="preserve">h (trinta e seis horas) do término da etapa, o respectivo relatório técnico, do qual constarão os resultados das rodadas, a classificação final, cópia dos arquivos do software SWISSMANAGER e/ou SWISSPERFECT, bem como, </w:t>
      </w:r>
      <w:r w:rsidRPr="00DB062B">
        <w:rPr>
          <w:rFonts w:ascii="Arial" w:hAnsi="Arial" w:cs="Arial"/>
          <w:b/>
          <w:sz w:val="20"/>
          <w:szCs w:val="20"/>
        </w:rPr>
        <w:t>OBRIGATORIAMENTE</w:t>
      </w:r>
      <w:r w:rsidRPr="00DB062B">
        <w:rPr>
          <w:rFonts w:ascii="Arial" w:hAnsi="Arial" w:cs="Arial"/>
          <w:sz w:val="20"/>
          <w:szCs w:val="20"/>
        </w:rPr>
        <w:t xml:space="preserve"> os seguintes dados referentes aos jogadores participantes:</w:t>
      </w:r>
    </w:p>
    <w:p w:rsidR="009B53B8" w:rsidRPr="00DB062B" w:rsidRDefault="009B53B8" w:rsidP="009B53B8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Nome completo;</w:t>
      </w:r>
    </w:p>
    <w:p w:rsidR="009B53B8" w:rsidRPr="00DB062B" w:rsidRDefault="009B53B8" w:rsidP="009B53B8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Município/ Clube que representa;</w:t>
      </w:r>
    </w:p>
    <w:p w:rsidR="009B53B8" w:rsidRPr="00DB062B" w:rsidRDefault="009B53B8" w:rsidP="009B53B8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Data de nascimento;</w:t>
      </w:r>
    </w:p>
    <w:p w:rsidR="009B53B8" w:rsidRPr="00DB062B" w:rsidRDefault="009B53B8" w:rsidP="009B53B8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ID CBX (facilita na hora de confirmar os classificados)</w:t>
      </w:r>
    </w:p>
    <w:p w:rsidR="009B53B8" w:rsidRPr="00DB062B" w:rsidRDefault="009B53B8" w:rsidP="009B53B8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E-mail;</w:t>
      </w:r>
    </w:p>
    <w:p w:rsidR="009B53B8" w:rsidRPr="00DB062B" w:rsidRDefault="009B53B8" w:rsidP="009B53B8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Rating;</w:t>
      </w:r>
    </w:p>
    <w:p w:rsidR="009B53B8" w:rsidRPr="00DB062B" w:rsidRDefault="009B53B8" w:rsidP="009B53B8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Nomes dos jogadores classificados em relatório a parte. </w:t>
      </w:r>
    </w:p>
    <w:p w:rsidR="009B53B8" w:rsidRPr="00DB062B" w:rsidRDefault="009B53B8" w:rsidP="009B53B8">
      <w:pPr>
        <w:spacing w:after="120"/>
        <w:ind w:left="705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 xml:space="preserve">Parágrafo único </w:t>
      </w:r>
      <w:r w:rsidRPr="00DB062B">
        <w:rPr>
          <w:rFonts w:ascii="Arial" w:hAnsi="Arial" w:cs="Arial"/>
          <w:sz w:val="20"/>
          <w:szCs w:val="20"/>
        </w:rPr>
        <w:t xml:space="preserve">– O software utilizado nas fases regionais ficará a critério do organizador (SWISSMANAGER ou SWISSPERFECT) e na fase final será obrigatoriamente o SWISSMANAGER. </w:t>
      </w:r>
    </w:p>
    <w:p w:rsidR="009B53B8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53B8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53B8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53B8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062B">
        <w:rPr>
          <w:rFonts w:ascii="Arial" w:hAnsi="Arial" w:cs="Arial"/>
          <w:b/>
          <w:sz w:val="20"/>
          <w:szCs w:val="20"/>
          <w:u w:val="single"/>
        </w:rPr>
        <w:t>V – DA REALIZAÇÃO TÉCNICA DA FASE FINAL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19</w:t>
      </w:r>
      <w:r w:rsidRPr="00DB062B">
        <w:rPr>
          <w:rFonts w:ascii="Arial" w:hAnsi="Arial" w:cs="Arial"/>
          <w:sz w:val="20"/>
          <w:szCs w:val="20"/>
        </w:rPr>
        <w:t xml:space="preserve"> – A Fase Final de cada campeonato de que trata este regulamento será realizada com tempo de reflexão de 1h + 30 sec. / </w:t>
      </w:r>
      <w:proofErr w:type="spellStart"/>
      <w:r w:rsidRPr="00DB062B">
        <w:rPr>
          <w:rFonts w:ascii="Arial" w:hAnsi="Arial" w:cs="Arial"/>
          <w:sz w:val="20"/>
          <w:szCs w:val="20"/>
        </w:rPr>
        <w:t>k.o.</w:t>
      </w:r>
      <w:proofErr w:type="spellEnd"/>
      <w:r w:rsidRPr="00DB062B">
        <w:rPr>
          <w:rFonts w:ascii="Arial" w:hAnsi="Arial" w:cs="Arial"/>
          <w:sz w:val="20"/>
          <w:szCs w:val="20"/>
        </w:rPr>
        <w:t xml:space="preserve"> (relógios digitais) ou 1h30/</w:t>
      </w:r>
      <w:proofErr w:type="spellStart"/>
      <w:r w:rsidRPr="00DB062B">
        <w:rPr>
          <w:rFonts w:ascii="Arial" w:hAnsi="Arial" w:cs="Arial"/>
          <w:sz w:val="20"/>
          <w:szCs w:val="20"/>
        </w:rPr>
        <w:t>k.o.</w:t>
      </w:r>
      <w:proofErr w:type="spellEnd"/>
      <w:r w:rsidRPr="00DB062B">
        <w:rPr>
          <w:rFonts w:ascii="Arial" w:hAnsi="Arial" w:cs="Arial"/>
          <w:sz w:val="20"/>
          <w:szCs w:val="20"/>
        </w:rPr>
        <w:t xml:space="preserve"> para relógios analógicos para cada jogador. (Prevalecendo o uso do relógio digital).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 xml:space="preserve">§ 1.º – </w:t>
      </w:r>
      <w:r w:rsidRPr="00DB062B">
        <w:rPr>
          <w:rFonts w:ascii="Arial" w:hAnsi="Arial" w:cs="Arial"/>
          <w:sz w:val="20"/>
          <w:szCs w:val="20"/>
        </w:rPr>
        <w:t xml:space="preserve">Anotação será obrigatória, com exceção das categorias Sub 08 e Sub 10. 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 xml:space="preserve">§ 2.º – </w:t>
      </w:r>
      <w:r w:rsidRPr="00DB062B">
        <w:rPr>
          <w:rFonts w:ascii="Arial" w:hAnsi="Arial" w:cs="Arial"/>
          <w:sz w:val="20"/>
          <w:szCs w:val="20"/>
        </w:rPr>
        <w:t xml:space="preserve">Cabe ao condutor das brancas apresentarem material completo para a partida (incluindo relógio). 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20</w:t>
      </w:r>
      <w:r w:rsidRPr="00DB062B">
        <w:rPr>
          <w:rFonts w:ascii="Arial" w:hAnsi="Arial" w:cs="Arial"/>
          <w:sz w:val="20"/>
          <w:szCs w:val="20"/>
        </w:rPr>
        <w:t xml:space="preserve"> – O sistema e o número de rodadas de cada campeonato obedecerão aos seguintes critérios:</w:t>
      </w:r>
    </w:p>
    <w:p w:rsidR="009B53B8" w:rsidRPr="0007095D" w:rsidRDefault="009B53B8" w:rsidP="009B53B8">
      <w:pPr>
        <w:jc w:val="both"/>
        <w:rPr>
          <w:rFonts w:ascii="Arial" w:hAnsi="Arial" w:cs="Arial"/>
          <w:sz w:val="20"/>
          <w:szCs w:val="20"/>
        </w:rPr>
      </w:pPr>
      <w:r w:rsidRPr="0007095D">
        <w:rPr>
          <w:rFonts w:ascii="Arial" w:hAnsi="Arial" w:cs="Arial"/>
          <w:b/>
          <w:sz w:val="20"/>
          <w:szCs w:val="20"/>
        </w:rPr>
        <w:t>I</w:t>
      </w:r>
      <w:r w:rsidRPr="0007095D">
        <w:rPr>
          <w:rFonts w:ascii="Arial" w:hAnsi="Arial" w:cs="Arial"/>
          <w:sz w:val="20"/>
          <w:szCs w:val="20"/>
        </w:rPr>
        <w:t xml:space="preserve"> - 02 participantes: match de seis partidas (melhor de 3,5);</w:t>
      </w:r>
    </w:p>
    <w:p w:rsidR="009B53B8" w:rsidRPr="0007095D" w:rsidRDefault="009B53B8" w:rsidP="009B53B8">
      <w:pPr>
        <w:jc w:val="both"/>
        <w:rPr>
          <w:rFonts w:ascii="Arial" w:hAnsi="Arial" w:cs="Arial"/>
          <w:sz w:val="20"/>
          <w:szCs w:val="20"/>
        </w:rPr>
      </w:pPr>
      <w:r w:rsidRPr="0007095D">
        <w:rPr>
          <w:rFonts w:ascii="Arial" w:hAnsi="Arial" w:cs="Arial"/>
          <w:b/>
          <w:sz w:val="20"/>
          <w:szCs w:val="20"/>
        </w:rPr>
        <w:t>II</w:t>
      </w:r>
      <w:r w:rsidRPr="0007095D">
        <w:rPr>
          <w:rFonts w:ascii="Arial" w:hAnsi="Arial" w:cs="Arial"/>
          <w:sz w:val="20"/>
          <w:szCs w:val="20"/>
        </w:rPr>
        <w:t xml:space="preserve"> - De 03 a 04 participantes: </w:t>
      </w:r>
      <w:proofErr w:type="spellStart"/>
      <w:r w:rsidRPr="0007095D">
        <w:rPr>
          <w:rFonts w:ascii="Arial" w:hAnsi="Arial" w:cs="Arial"/>
          <w:sz w:val="20"/>
          <w:szCs w:val="20"/>
        </w:rPr>
        <w:t>Schüring</w:t>
      </w:r>
      <w:proofErr w:type="spellEnd"/>
      <w:r w:rsidRPr="0007095D">
        <w:rPr>
          <w:rFonts w:ascii="Arial" w:hAnsi="Arial" w:cs="Arial"/>
          <w:sz w:val="20"/>
          <w:szCs w:val="20"/>
        </w:rPr>
        <w:t xml:space="preserve"> em duplo turno;</w:t>
      </w:r>
    </w:p>
    <w:p w:rsidR="009B53B8" w:rsidRPr="0007095D" w:rsidRDefault="009B53B8" w:rsidP="009B53B8">
      <w:pPr>
        <w:rPr>
          <w:rFonts w:ascii="Arial" w:hAnsi="Arial" w:cs="Arial"/>
          <w:sz w:val="20"/>
          <w:szCs w:val="20"/>
        </w:rPr>
      </w:pPr>
      <w:r w:rsidRPr="0007095D">
        <w:rPr>
          <w:rFonts w:ascii="Arial" w:hAnsi="Arial" w:cs="Arial"/>
          <w:b/>
          <w:sz w:val="20"/>
          <w:szCs w:val="20"/>
        </w:rPr>
        <w:t>III</w:t>
      </w:r>
      <w:r w:rsidRPr="0007095D">
        <w:rPr>
          <w:rFonts w:ascii="Arial" w:hAnsi="Arial" w:cs="Arial"/>
          <w:sz w:val="20"/>
          <w:szCs w:val="20"/>
        </w:rPr>
        <w:t xml:space="preserve"> - De 05 a 06 participantes: </w:t>
      </w:r>
      <w:proofErr w:type="spellStart"/>
      <w:r w:rsidRPr="0007095D">
        <w:rPr>
          <w:rFonts w:ascii="Arial" w:hAnsi="Arial" w:cs="Arial"/>
          <w:sz w:val="20"/>
          <w:szCs w:val="20"/>
        </w:rPr>
        <w:t>Schüring</w:t>
      </w:r>
      <w:proofErr w:type="spellEnd"/>
      <w:r w:rsidRPr="0007095D">
        <w:rPr>
          <w:rFonts w:ascii="Arial" w:hAnsi="Arial" w:cs="Arial"/>
          <w:sz w:val="20"/>
          <w:szCs w:val="20"/>
        </w:rPr>
        <w:t xml:space="preserve"> em turno único;                                              </w:t>
      </w:r>
    </w:p>
    <w:p w:rsidR="009B53B8" w:rsidRPr="0007095D" w:rsidRDefault="009B53B8" w:rsidP="009B53B8">
      <w:pPr>
        <w:rPr>
          <w:rFonts w:ascii="Arial" w:hAnsi="Arial" w:cs="Arial"/>
          <w:sz w:val="20"/>
          <w:szCs w:val="20"/>
        </w:rPr>
      </w:pPr>
      <w:r w:rsidRPr="0007095D">
        <w:rPr>
          <w:rFonts w:ascii="Arial" w:hAnsi="Arial" w:cs="Arial"/>
          <w:b/>
          <w:sz w:val="20"/>
          <w:szCs w:val="20"/>
        </w:rPr>
        <w:t>IV</w:t>
      </w:r>
      <w:r w:rsidRPr="0007095D">
        <w:rPr>
          <w:rFonts w:ascii="Arial" w:hAnsi="Arial" w:cs="Arial"/>
          <w:sz w:val="20"/>
          <w:szCs w:val="20"/>
        </w:rPr>
        <w:t xml:space="preserve"> - De 7 a 8 participantes: Fase preliminar em dois grupos definidos por sorteio no sistema </w:t>
      </w:r>
      <w:proofErr w:type="spellStart"/>
      <w:r w:rsidRPr="0007095D">
        <w:rPr>
          <w:rFonts w:ascii="Arial" w:hAnsi="Arial" w:cs="Arial"/>
          <w:sz w:val="20"/>
          <w:szCs w:val="20"/>
        </w:rPr>
        <w:t>schüring</w:t>
      </w:r>
      <w:proofErr w:type="spellEnd"/>
      <w:r w:rsidRPr="0007095D">
        <w:rPr>
          <w:rFonts w:ascii="Arial" w:hAnsi="Arial" w:cs="Arial"/>
          <w:sz w:val="20"/>
          <w:szCs w:val="20"/>
        </w:rPr>
        <w:t xml:space="preserve"> em turno único onde em cada grupo se classificam os dois melhores para um quadrangular final também no sistema </w:t>
      </w:r>
      <w:proofErr w:type="spellStart"/>
      <w:r w:rsidRPr="0007095D">
        <w:rPr>
          <w:rFonts w:ascii="Arial" w:hAnsi="Arial" w:cs="Arial"/>
          <w:sz w:val="20"/>
          <w:szCs w:val="20"/>
        </w:rPr>
        <w:t>schüring</w:t>
      </w:r>
      <w:proofErr w:type="spellEnd"/>
      <w:r w:rsidRPr="0007095D">
        <w:rPr>
          <w:rFonts w:ascii="Arial" w:hAnsi="Arial" w:cs="Arial"/>
          <w:sz w:val="20"/>
          <w:szCs w:val="20"/>
        </w:rPr>
        <w:t xml:space="preserve"> em turno único. Os terceiros e quartos de cada grupo preliminar disputam as posições de 5.º à 8.º lugares em um grupo único no sistema </w:t>
      </w:r>
      <w:proofErr w:type="spellStart"/>
      <w:r w:rsidRPr="0007095D">
        <w:rPr>
          <w:rFonts w:ascii="Arial" w:hAnsi="Arial" w:cs="Arial"/>
          <w:sz w:val="20"/>
          <w:szCs w:val="20"/>
        </w:rPr>
        <w:t>schüring</w:t>
      </w:r>
      <w:proofErr w:type="spellEnd"/>
      <w:r w:rsidRPr="0007095D">
        <w:rPr>
          <w:rFonts w:ascii="Arial" w:hAnsi="Arial" w:cs="Arial"/>
          <w:sz w:val="20"/>
          <w:szCs w:val="20"/>
        </w:rPr>
        <w:t xml:space="preserve"> para definir suas posições.                                                                             </w:t>
      </w:r>
    </w:p>
    <w:p w:rsidR="009B53B8" w:rsidRPr="0007095D" w:rsidRDefault="009B53B8" w:rsidP="009B53B8">
      <w:pPr>
        <w:rPr>
          <w:rFonts w:ascii="Arial" w:hAnsi="Arial" w:cs="Arial"/>
          <w:sz w:val="20"/>
          <w:szCs w:val="20"/>
        </w:rPr>
      </w:pPr>
      <w:r w:rsidRPr="0007095D">
        <w:rPr>
          <w:rFonts w:ascii="Arial" w:hAnsi="Arial" w:cs="Arial"/>
          <w:b/>
          <w:sz w:val="20"/>
          <w:szCs w:val="20"/>
        </w:rPr>
        <w:t>V</w:t>
      </w:r>
      <w:r w:rsidRPr="0007095D">
        <w:rPr>
          <w:rFonts w:ascii="Arial" w:hAnsi="Arial" w:cs="Arial"/>
          <w:sz w:val="20"/>
          <w:szCs w:val="20"/>
        </w:rPr>
        <w:t xml:space="preserve"> – De 9 a 11 participantes: Sistema suíço em cinco rodadas;                                     </w:t>
      </w:r>
    </w:p>
    <w:p w:rsidR="009B53B8" w:rsidRPr="0007095D" w:rsidRDefault="009B53B8" w:rsidP="009B53B8">
      <w:pPr>
        <w:rPr>
          <w:rFonts w:ascii="Arial" w:hAnsi="Arial" w:cs="Arial"/>
          <w:sz w:val="20"/>
          <w:szCs w:val="20"/>
        </w:rPr>
      </w:pPr>
      <w:r w:rsidRPr="0007095D">
        <w:rPr>
          <w:rFonts w:ascii="Arial" w:hAnsi="Arial" w:cs="Arial"/>
          <w:b/>
          <w:sz w:val="20"/>
          <w:szCs w:val="20"/>
        </w:rPr>
        <w:t>VI</w:t>
      </w:r>
      <w:r w:rsidRPr="0007095D">
        <w:rPr>
          <w:rFonts w:ascii="Arial" w:hAnsi="Arial" w:cs="Arial"/>
          <w:sz w:val="20"/>
          <w:szCs w:val="20"/>
        </w:rPr>
        <w:t xml:space="preserve"> – De 12 participantes em diante: Sistema suíço em seis rodadas.</w:t>
      </w:r>
    </w:p>
    <w:p w:rsidR="009B53B8" w:rsidRPr="00DB062B" w:rsidRDefault="009B53B8" w:rsidP="009B53B8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lastRenderedPageBreak/>
        <w:t>§ 1.º</w:t>
      </w:r>
      <w:r w:rsidRPr="00DB062B">
        <w:rPr>
          <w:rFonts w:ascii="Arial" w:hAnsi="Arial" w:cs="Arial"/>
          <w:sz w:val="20"/>
          <w:szCs w:val="20"/>
        </w:rPr>
        <w:t xml:space="preserve"> – A realização dos campeonatos será programada para o </w:t>
      </w:r>
      <w:proofErr w:type="spellStart"/>
      <w:r w:rsidRPr="00DB062B">
        <w:rPr>
          <w:rFonts w:ascii="Arial" w:hAnsi="Arial" w:cs="Arial"/>
          <w:sz w:val="20"/>
          <w:szCs w:val="20"/>
        </w:rPr>
        <w:t>inicio</w:t>
      </w:r>
      <w:proofErr w:type="spellEnd"/>
      <w:r w:rsidRPr="00DB062B">
        <w:rPr>
          <w:rFonts w:ascii="Arial" w:hAnsi="Arial" w:cs="Arial"/>
          <w:sz w:val="20"/>
          <w:szCs w:val="20"/>
        </w:rPr>
        <w:t xml:space="preserve"> em uma sexta-feira com término no domingo. </w:t>
      </w:r>
    </w:p>
    <w:p w:rsidR="009B53B8" w:rsidRPr="00DB062B" w:rsidRDefault="009B53B8" w:rsidP="009B53B8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§ 2.º</w:t>
      </w:r>
      <w:r w:rsidRPr="00DB062B">
        <w:rPr>
          <w:rFonts w:ascii="Arial" w:hAnsi="Arial" w:cs="Arial"/>
          <w:sz w:val="20"/>
          <w:szCs w:val="20"/>
        </w:rPr>
        <w:t xml:space="preserve"> – O emparceiramento será realizado pelo software swissmanager.</w:t>
      </w:r>
    </w:p>
    <w:p w:rsidR="009B53B8" w:rsidRDefault="009B53B8" w:rsidP="009B53B8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§ 3.º</w:t>
      </w:r>
      <w:r w:rsidRPr="00DB062B">
        <w:rPr>
          <w:rFonts w:ascii="Arial" w:hAnsi="Arial" w:cs="Arial"/>
          <w:sz w:val="20"/>
          <w:szCs w:val="20"/>
        </w:rPr>
        <w:t xml:space="preserve"> – Os empates na classificação final serão decididos pelos seguintes critérios, nesta ordem:</w:t>
      </w:r>
    </w:p>
    <w:p w:rsidR="009B53B8" w:rsidRPr="00DB062B" w:rsidRDefault="009B53B8" w:rsidP="009B53B8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  <w:u w:val="single"/>
        </w:rPr>
        <w:t xml:space="preserve">Para o sistema </w:t>
      </w:r>
      <w:proofErr w:type="spellStart"/>
      <w:r w:rsidRPr="00DB062B">
        <w:rPr>
          <w:rFonts w:ascii="Arial" w:hAnsi="Arial" w:cs="Arial"/>
          <w:b/>
          <w:sz w:val="20"/>
          <w:szCs w:val="20"/>
          <w:u w:val="single"/>
        </w:rPr>
        <w:t>schüring</w:t>
      </w:r>
      <w:proofErr w:type="spellEnd"/>
      <w:r w:rsidRPr="00DB062B">
        <w:rPr>
          <w:rFonts w:ascii="Arial" w:hAnsi="Arial" w:cs="Arial"/>
          <w:sz w:val="20"/>
          <w:szCs w:val="20"/>
        </w:rPr>
        <w:t>:</w:t>
      </w:r>
    </w:p>
    <w:p w:rsidR="009B53B8" w:rsidRPr="00DB062B" w:rsidRDefault="009B53B8" w:rsidP="009B53B8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Confronto direto;</w:t>
      </w:r>
    </w:p>
    <w:p w:rsidR="009B53B8" w:rsidRPr="00DB062B" w:rsidRDefault="009B53B8" w:rsidP="009B53B8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Maior número de vitórias;</w:t>
      </w:r>
    </w:p>
    <w:p w:rsidR="009B53B8" w:rsidRPr="00DB062B" w:rsidRDefault="009B53B8" w:rsidP="009B53B8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DB062B">
        <w:rPr>
          <w:rFonts w:ascii="Arial" w:hAnsi="Arial" w:cs="Arial"/>
          <w:sz w:val="20"/>
          <w:szCs w:val="20"/>
        </w:rPr>
        <w:t>Sonneborn-berger</w:t>
      </w:r>
      <w:proofErr w:type="spellEnd"/>
      <w:r w:rsidRPr="00DB062B">
        <w:rPr>
          <w:rFonts w:ascii="Arial" w:hAnsi="Arial" w:cs="Arial"/>
          <w:sz w:val="20"/>
          <w:szCs w:val="20"/>
        </w:rPr>
        <w:t>;</w:t>
      </w:r>
    </w:p>
    <w:p w:rsidR="009B53B8" w:rsidRPr="00DB062B" w:rsidRDefault="009B53B8" w:rsidP="009B53B8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 xml:space="preserve">Sistema </w:t>
      </w:r>
      <w:proofErr w:type="spellStart"/>
      <w:r w:rsidRPr="00DB062B">
        <w:rPr>
          <w:rFonts w:ascii="Arial" w:hAnsi="Arial" w:cs="Arial"/>
          <w:sz w:val="20"/>
          <w:szCs w:val="20"/>
        </w:rPr>
        <w:t>Koya</w:t>
      </w:r>
      <w:proofErr w:type="spellEnd"/>
      <w:r w:rsidRPr="00DB062B">
        <w:rPr>
          <w:rFonts w:ascii="Arial" w:hAnsi="Arial" w:cs="Arial"/>
          <w:sz w:val="20"/>
          <w:szCs w:val="20"/>
        </w:rPr>
        <w:t xml:space="preserve">; </w:t>
      </w:r>
    </w:p>
    <w:p w:rsidR="009B53B8" w:rsidRPr="00DB062B" w:rsidRDefault="009B53B8" w:rsidP="009B53B8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DB062B">
        <w:rPr>
          <w:rFonts w:ascii="Arial" w:hAnsi="Arial" w:cs="Arial"/>
          <w:sz w:val="20"/>
          <w:szCs w:val="20"/>
        </w:rPr>
        <w:t>Arranz</w:t>
      </w:r>
      <w:proofErr w:type="spellEnd"/>
      <w:r w:rsidRPr="00DB062B">
        <w:rPr>
          <w:rFonts w:ascii="Arial" w:hAnsi="Arial" w:cs="Arial"/>
          <w:sz w:val="20"/>
          <w:szCs w:val="20"/>
        </w:rPr>
        <w:t xml:space="preserve"> System;</w:t>
      </w:r>
    </w:p>
    <w:p w:rsidR="009B53B8" w:rsidRPr="00DB062B" w:rsidRDefault="009B53B8" w:rsidP="009B53B8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Partida extra de xadrez relâmpago no sistema de morte súbita (5 min. x 4 min.) onde as brancas têm a obrigação de vencer e o empate beneficia o jogador de peças pretas</w:t>
      </w:r>
      <w:r>
        <w:rPr>
          <w:rFonts w:ascii="Arial" w:hAnsi="Arial" w:cs="Arial"/>
          <w:sz w:val="20"/>
          <w:szCs w:val="20"/>
        </w:rPr>
        <w:t xml:space="preserve"> </w:t>
      </w:r>
      <w:r w:rsidRPr="00F5266E">
        <w:rPr>
          <w:rFonts w:ascii="Arial" w:hAnsi="Arial" w:cs="Arial"/>
          <w:sz w:val="20"/>
          <w:szCs w:val="20"/>
        </w:rPr>
        <w:t>(somente no caso de empate nas 10 primeiras colocações).</w:t>
      </w:r>
    </w:p>
    <w:p w:rsidR="009B53B8" w:rsidRPr="00DB062B" w:rsidRDefault="009B53B8" w:rsidP="009B53B8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  <w:u w:val="single"/>
        </w:rPr>
        <w:t>Para o sistema suíço</w:t>
      </w:r>
      <w:r w:rsidRPr="00DB062B">
        <w:rPr>
          <w:rFonts w:ascii="Arial" w:hAnsi="Arial" w:cs="Arial"/>
          <w:sz w:val="20"/>
          <w:szCs w:val="20"/>
        </w:rPr>
        <w:t>:</w:t>
      </w:r>
    </w:p>
    <w:p w:rsidR="009B53B8" w:rsidRPr="00DB062B" w:rsidRDefault="009B53B8" w:rsidP="009B53B8">
      <w:pPr>
        <w:numPr>
          <w:ilvl w:val="0"/>
          <w:numId w:val="7"/>
        </w:numPr>
        <w:ind w:left="1423" w:hanging="357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Confronto direto;</w:t>
      </w:r>
    </w:p>
    <w:p w:rsidR="009B53B8" w:rsidRPr="00DB062B" w:rsidRDefault="009B53B8" w:rsidP="009B53B8">
      <w:pPr>
        <w:numPr>
          <w:ilvl w:val="0"/>
          <w:numId w:val="7"/>
        </w:numPr>
        <w:ind w:left="1423" w:hanging="357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Milésimos Medianos (descartando apenas o pior resultado e seguindo orientação da CBX quanto à configuração do desempate);</w:t>
      </w:r>
    </w:p>
    <w:p w:rsidR="009B53B8" w:rsidRPr="00DB062B" w:rsidRDefault="009B53B8" w:rsidP="009B53B8">
      <w:pPr>
        <w:numPr>
          <w:ilvl w:val="0"/>
          <w:numId w:val="7"/>
        </w:numPr>
        <w:ind w:left="1423" w:hanging="357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Milésimos Totais (seguindo orientações da CBX quanto à configuração do desempate);</w:t>
      </w:r>
    </w:p>
    <w:p w:rsidR="009B53B8" w:rsidRPr="00DB062B" w:rsidRDefault="009B53B8" w:rsidP="009B53B8">
      <w:pPr>
        <w:numPr>
          <w:ilvl w:val="0"/>
          <w:numId w:val="7"/>
        </w:numPr>
        <w:ind w:left="1423" w:hanging="357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Berger (Seguindo orientações da CBX quanto à configuração do desempate);</w:t>
      </w:r>
    </w:p>
    <w:p w:rsidR="009B53B8" w:rsidRDefault="009B53B8" w:rsidP="009B53B8">
      <w:pPr>
        <w:numPr>
          <w:ilvl w:val="0"/>
          <w:numId w:val="7"/>
        </w:numPr>
        <w:ind w:left="1423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DB062B">
        <w:rPr>
          <w:rFonts w:ascii="Arial" w:hAnsi="Arial" w:cs="Arial"/>
          <w:sz w:val="20"/>
          <w:szCs w:val="20"/>
        </w:rPr>
        <w:t>Arranz</w:t>
      </w:r>
      <w:proofErr w:type="spellEnd"/>
      <w:r w:rsidRPr="00DB062B">
        <w:rPr>
          <w:rFonts w:ascii="Arial" w:hAnsi="Arial" w:cs="Arial"/>
          <w:sz w:val="20"/>
          <w:szCs w:val="20"/>
        </w:rPr>
        <w:t xml:space="preserve"> System (Seguindo orientações da CBX quanto à configuração do desempate);</w:t>
      </w:r>
    </w:p>
    <w:p w:rsidR="009B53B8" w:rsidRPr="00DB062B" w:rsidRDefault="009B53B8" w:rsidP="009B53B8">
      <w:pPr>
        <w:numPr>
          <w:ilvl w:val="0"/>
          <w:numId w:val="7"/>
        </w:numPr>
        <w:ind w:left="1423" w:hanging="357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Partida extra de xadrez relâmpago no sistema de morte súbita (5 min. x 4 min.) onde as brancas tem a obrigação de vencer e o empate beneficia o jogador de peças pretas</w:t>
      </w:r>
      <w:r>
        <w:rPr>
          <w:rFonts w:ascii="Arial" w:hAnsi="Arial" w:cs="Arial"/>
          <w:sz w:val="20"/>
          <w:szCs w:val="20"/>
        </w:rPr>
        <w:t xml:space="preserve"> </w:t>
      </w:r>
      <w:r w:rsidRPr="00F5266E">
        <w:rPr>
          <w:rFonts w:ascii="Arial" w:hAnsi="Arial" w:cs="Arial"/>
          <w:sz w:val="20"/>
          <w:szCs w:val="20"/>
        </w:rPr>
        <w:t>(somente no caso de empate nas 10 primeiras colocações</w:t>
      </w:r>
      <w:proofErr w:type="gramStart"/>
      <w:r w:rsidRPr="00F5266E">
        <w:rPr>
          <w:rFonts w:ascii="Arial" w:hAnsi="Arial" w:cs="Arial"/>
          <w:sz w:val="20"/>
          <w:szCs w:val="20"/>
        </w:rPr>
        <w:t>).</w:t>
      </w:r>
      <w:r w:rsidRPr="00DB062B">
        <w:rPr>
          <w:rFonts w:ascii="Arial" w:hAnsi="Arial" w:cs="Arial"/>
          <w:sz w:val="20"/>
          <w:szCs w:val="20"/>
        </w:rPr>
        <w:t>.</w:t>
      </w:r>
      <w:proofErr w:type="gramEnd"/>
    </w:p>
    <w:p w:rsidR="009B53B8" w:rsidRDefault="009B53B8" w:rsidP="009B53B8">
      <w:pPr>
        <w:spacing w:after="120"/>
        <w:jc w:val="both"/>
        <w:rPr>
          <w:rFonts w:ascii="Arial" w:hAnsi="Arial" w:cs="Arial"/>
          <w:b/>
          <w:sz w:val="12"/>
          <w:szCs w:val="20"/>
          <w:u w:val="single"/>
        </w:rPr>
      </w:pPr>
    </w:p>
    <w:p w:rsidR="009B53B8" w:rsidRDefault="009B53B8" w:rsidP="009B53B8">
      <w:pPr>
        <w:spacing w:after="120"/>
        <w:jc w:val="both"/>
        <w:rPr>
          <w:rFonts w:ascii="Arial" w:hAnsi="Arial" w:cs="Arial"/>
          <w:b/>
          <w:sz w:val="12"/>
          <w:szCs w:val="20"/>
          <w:u w:val="single"/>
        </w:rPr>
      </w:pPr>
    </w:p>
    <w:p w:rsidR="009B53B8" w:rsidRPr="00B533C0" w:rsidRDefault="009B53B8" w:rsidP="009B53B8">
      <w:pPr>
        <w:spacing w:after="120"/>
        <w:jc w:val="both"/>
        <w:rPr>
          <w:rFonts w:ascii="Arial" w:hAnsi="Arial" w:cs="Arial"/>
          <w:b/>
          <w:sz w:val="12"/>
          <w:szCs w:val="20"/>
          <w:u w:val="single"/>
        </w:rPr>
      </w:pPr>
    </w:p>
    <w:p w:rsidR="009B53B8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062B">
        <w:rPr>
          <w:rFonts w:ascii="Arial" w:hAnsi="Arial" w:cs="Arial"/>
          <w:b/>
          <w:sz w:val="20"/>
          <w:szCs w:val="20"/>
          <w:u w:val="single"/>
        </w:rPr>
        <w:t>VI – DAS DISPOSIÇÕES FINANCEIRAS</w:t>
      </w:r>
      <w:r w:rsidRPr="00DB062B">
        <w:rPr>
          <w:rFonts w:ascii="Arial" w:hAnsi="Arial" w:cs="Arial"/>
          <w:sz w:val="20"/>
          <w:szCs w:val="20"/>
        </w:rPr>
        <w:t>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21</w:t>
      </w:r>
      <w:r w:rsidRPr="00DB062B">
        <w:rPr>
          <w:rFonts w:ascii="Arial" w:hAnsi="Arial" w:cs="Arial"/>
          <w:sz w:val="20"/>
          <w:szCs w:val="20"/>
        </w:rPr>
        <w:t xml:space="preserve"> – Os organizadores deverão recolher à FEXPAR as seguintes taxas:</w:t>
      </w:r>
    </w:p>
    <w:p w:rsidR="009B53B8" w:rsidRPr="00DB062B" w:rsidRDefault="006A68F1" w:rsidP="006A68F1">
      <w:pPr>
        <w:numPr>
          <w:ilvl w:val="0"/>
          <w:numId w:val="8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A68F1">
        <w:rPr>
          <w:rFonts w:ascii="Arial" w:hAnsi="Arial" w:cs="Arial"/>
          <w:sz w:val="20"/>
          <w:szCs w:val="20"/>
        </w:rPr>
        <w:t>Nas etapas classificatórias regionais deverá ser recolhida uma taxa fixa de R$ 50,00 (cinquenta reais) e mais R$ 4,00 por enxadrista participante na respectiva classificatória regional para clubes filiados e em dia com suas obrigações; Clubes não filiados deverão recolher R$ 100,00 (cem reais) e mais R$ 7,00 do valor cobrado na inscrição por enxadrista participante. Tanto o resultado final como os atletas c</w:t>
      </w:r>
      <w:r>
        <w:rPr>
          <w:rFonts w:ascii="Arial" w:hAnsi="Arial" w:cs="Arial"/>
          <w:sz w:val="20"/>
          <w:szCs w:val="20"/>
        </w:rPr>
        <w:t>lassificados da classificatória</w:t>
      </w:r>
      <w:r w:rsidRPr="006A68F1">
        <w:rPr>
          <w:rFonts w:ascii="Arial" w:hAnsi="Arial" w:cs="Arial"/>
          <w:sz w:val="20"/>
          <w:szCs w:val="20"/>
        </w:rPr>
        <w:t xml:space="preserve"> só terão os nomes publicados após o comprovante de pagamento das devidas taxas</w:t>
      </w:r>
      <w:r w:rsidR="009B53B8" w:rsidRPr="00DB062B">
        <w:rPr>
          <w:rFonts w:ascii="Arial" w:hAnsi="Arial" w:cs="Arial"/>
          <w:sz w:val="20"/>
          <w:szCs w:val="20"/>
        </w:rPr>
        <w:t>.</w:t>
      </w:r>
    </w:p>
    <w:p w:rsidR="009B53B8" w:rsidRPr="00DB062B" w:rsidRDefault="009B53B8" w:rsidP="009B53B8">
      <w:pPr>
        <w:numPr>
          <w:ilvl w:val="0"/>
          <w:numId w:val="8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B062B">
        <w:rPr>
          <w:rFonts w:ascii="Arial" w:hAnsi="Arial" w:cs="Arial"/>
          <w:sz w:val="20"/>
          <w:szCs w:val="20"/>
        </w:rPr>
        <w:t>Na fase final o repasse já está descrito nas condições para propostas de realização.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22</w:t>
      </w:r>
      <w:r w:rsidRPr="00DB062B">
        <w:rPr>
          <w:rFonts w:ascii="Arial" w:hAnsi="Arial" w:cs="Arial"/>
          <w:sz w:val="20"/>
          <w:szCs w:val="20"/>
        </w:rPr>
        <w:t xml:space="preserve"> – A taxa de inscrição e as condições de alojamento, alimentação para a fase final serão divulgadas no folder do evento.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23</w:t>
      </w:r>
      <w:r w:rsidRPr="00DB062B">
        <w:rPr>
          <w:rFonts w:ascii="Arial" w:hAnsi="Arial" w:cs="Arial"/>
          <w:sz w:val="20"/>
          <w:szCs w:val="20"/>
        </w:rPr>
        <w:t xml:space="preserve"> – O organizador de cada fase classificatória poderá cobrar uma taxa de inscrição de até R$ 25,00 (vinte e cinco reais).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062B">
        <w:rPr>
          <w:rFonts w:ascii="Arial" w:hAnsi="Arial" w:cs="Arial"/>
          <w:b/>
          <w:sz w:val="20"/>
          <w:szCs w:val="20"/>
        </w:rPr>
        <w:t>ART. 24</w:t>
      </w:r>
      <w:r w:rsidRPr="00DB062B">
        <w:rPr>
          <w:rFonts w:ascii="Arial" w:hAnsi="Arial" w:cs="Arial"/>
          <w:sz w:val="20"/>
          <w:szCs w:val="20"/>
        </w:rPr>
        <w:t xml:space="preserve"> – A taxa de inscrição a que se referem os ART. 22 e 23 reverte à organização local e/ou à </w:t>
      </w:r>
      <w:proofErr w:type="spellStart"/>
      <w:r w:rsidRPr="00DB062B">
        <w:rPr>
          <w:rFonts w:ascii="Arial" w:hAnsi="Arial" w:cs="Arial"/>
          <w:sz w:val="20"/>
          <w:szCs w:val="20"/>
        </w:rPr>
        <w:t>Fexpar</w:t>
      </w:r>
      <w:proofErr w:type="spellEnd"/>
      <w:r w:rsidRPr="00DB062B">
        <w:rPr>
          <w:rFonts w:ascii="Arial" w:hAnsi="Arial" w:cs="Arial"/>
          <w:sz w:val="20"/>
          <w:szCs w:val="20"/>
        </w:rPr>
        <w:t xml:space="preserve"> para atender às despesas gerais de organização dos eventos.</w:t>
      </w:r>
    </w:p>
    <w:p w:rsidR="009B53B8" w:rsidRPr="00B533C0" w:rsidRDefault="009B53B8" w:rsidP="009B53B8">
      <w:pPr>
        <w:spacing w:after="120"/>
        <w:jc w:val="both"/>
        <w:rPr>
          <w:rFonts w:ascii="Arial" w:hAnsi="Arial" w:cs="Arial"/>
          <w:sz w:val="6"/>
          <w:szCs w:val="20"/>
        </w:rPr>
      </w:pPr>
    </w:p>
    <w:p w:rsidR="009B53B8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062B">
        <w:rPr>
          <w:rFonts w:ascii="Arial" w:hAnsi="Arial" w:cs="Arial"/>
          <w:b/>
          <w:sz w:val="20"/>
          <w:szCs w:val="20"/>
          <w:u w:val="single"/>
        </w:rPr>
        <w:t>VII – DAS DISPOSIÇÕES GERAIS</w:t>
      </w:r>
    </w:p>
    <w:p w:rsidR="009B53B8" w:rsidRPr="00DB062B" w:rsidRDefault="009B53B8" w:rsidP="009B53B8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B53B8" w:rsidRPr="001043CA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43CA">
        <w:rPr>
          <w:rFonts w:ascii="Arial" w:hAnsi="Arial" w:cs="Arial"/>
          <w:b/>
          <w:sz w:val="20"/>
          <w:szCs w:val="20"/>
        </w:rPr>
        <w:t>ART. 25</w:t>
      </w:r>
      <w:r w:rsidRPr="001043CA">
        <w:rPr>
          <w:rFonts w:ascii="Arial" w:hAnsi="Arial" w:cs="Arial"/>
          <w:sz w:val="20"/>
          <w:szCs w:val="20"/>
        </w:rPr>
        <w:t xml:space="preserve"> – Serão obedecidas as regras da FIDE – Federação Internacional de Xadrez, onde forem aplicáveis não cabendo recurso contra a arbitragem (item 11.10 das regras oficiais da FIDE). </w:t>
      </w:r>
      <w:r>
        <w:rPr>
          <w:rFonts w:ascii="Arial" w:hAnsi="Arial" w:cs="Arial"/>
          <w:sz w:val="20"/>
          <w:szCs w:val="20"/>
        </w:rPr>
        <w:t>Diretriz III</w:t>
      </w:r>
      <w:r w:rsidRPr="001043CA">
        <w:rPr>
          <w:rFonts w:ascii="Arial" w:hAnsi="Arial" w:cs="Arial"/>
          <w:sz w:val="20"/>
          <w:szCs w:val="20"/>
        </w:rPr>
        <w:t xml:space="preserve"> não aplicável.</w:t>
      </w:r>
    </w:p>
    <w:p w:rsidR="009B53B8" w:rsidRPr="001043CA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43CA">
        <w:rPr>
          <w:rFonts w:ascii="Arial" w:hAnsi="Arial" w:cs="Arial"/>
          <w:b/>
          <w:sz w:val="20"/>
          <w:szCs w:val="20"/>
        </w:rPr>
        <w:t>ART. 26</w:t>
      </w:r>
      <w:r w:rsidRPr="001043CA">
        <w:rPr>
          <w:rFonts w:ascii="Arial" w:hAnsi="Arial" w:cs="Arial"/>
          <w:sz w:val="20"/>
          <w:szCs w:val="20"/>
        </w:rPr>
        <w:t xml:space="preserve"> – Em cada seletiva regional, torneio interno classificatório e na fase final de cada campeonato deverão ser obedecidas às disposições adicionais referentes à participação, inclusive a quitação de taxas, constantes do respectivo folder aprovado pela FEXPAR. </w:t>
      </w:r>
    </w:p>
    <w:p w:rsidR="009B53B8" w:rsidRPr="001043CA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43CA">
        <w:rPr>
          <w:rFonts w:ascii="Arial" w:hAnsi="Arial" w:cs="Arial"/>
          <w:b/>
          <w:sz w:val="20"/>
          <w:szCs w:val="20"/>
        </w:rPr>
        <w:t>ART. 27</w:t>
      </w:r>
      <w:r w:rsidRPr="001043CA">
        <w:rPr>
          <w:rFonts w:ascii="Arial" w:hAnsi="Arial" w:cs="Arial"/>
          <w:sz w:val="20"/>
          <w:szCs w:val="20"/>
        </w:rPr>
        <w:t xml:space="preserve"> – Na fase final caberá ao organizador providenciar a premiação aos atletas por categoria constituída de no mínimo troféus para o campeão, vice-campeão e 3.º colocado e medalhas do 4.º ao 10.º colocado em cada campeonato. </w:t>
      </w:r>
    </w:p>
    <w:p w:rsidR="009B53B8" w:rsidRPr="001043CA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43CA">
        <w:rPr>
          <w:rFonts w:ascii="Arial" w:hAnsi="Arial" w:cs="Arial"/>
          <w:b/>
          <w:sz w:val="20"/>
          <w:szCs w:val="20"/>
        </w:rPr>
        <w:t>ART. 28</w:t>
      </w:r>
      <w:r w:rsidRPr="001043CA">
        <w:rPr>
          <w:rFonts w:ascii="Arial" w:hAnsi="Arial" w:cs="Arial"/>
          <w:sz w:val="20"/>
          <w:szCs w:val="20"/>
        </w:rPr>
        <w:t xml:space="preserve"> – O cronograma da competição será divulgado oportunamente na homepage da FEXPAR.</w:t>
      </w:r>
    </w:p>
    <w:p w:rsidR="009B53B8" w:rsidRPr="001043CA" w:rsidRDefault="009B53B8" w:rsidP="009B53B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43CA">
        <w:rPr>
          <w:rFonts w:ascii="Arial" w:hAnsi="Arial" w:cs="Arial"/>
          <w:b/>
          <w:sz w:val="20"/>
          <w:szCs w:val="20"/>
        </w:rPr>
        <w:t xml:space="preserve">ART. 29 </w:t>
      </w:r>
      <w:r w:rsidRPr="001043CA">
        <w:rPr>
          <w:rFonts w:ascii="Arial" w:hAnsi="Arial" w:cs="Arial"/>
          <w:sz w:val="20"/>
          <w:szCs w:val="20"/>
        </w:rPr>
        <w:t xml:space="preserve">– O tempo de espera para efetivação de </w:t>
      </w:r>
      <w:proofErr w:type="spellStart"/>
      <w:r w:rsidRPr="001043CA">
        <w:rPr>
          <w:rFonts w:ascii="Arial" w:hAnsi="Arial" w:cs="Arial"/>
          <w:sz w:val="20"/>
          <w:szCs w:val="20"/>
        </w:rPr>
        <w:t>w.o</w:t>
      </w:r>
      <w:proofErr w:type="spellEnd"/>
      <w:r w:rsidRPr="001043CA">
        <w:rPr>
          <w:rFonts w:ascii="Arial" w:hAnsi="Arial" w:cs="Arial"/>
          <w:sz w:val="20"/>
          <w:szCs w:val="20"/>
        </w:rPr>
        <w:t xml:space="preserve">. será de 60 minutos. </w:t>
      </w:r>
    </w:p>
    <w:p w:rsidR="009B53B8" w:rsidRPr="001043CA" w:rsidRDefault="009B53B8" w:rsidP="009B53B8">
      <w:pPr>
        <w:jc w:val="both"/>
        <w:rPr>
          <w:rFonts w:ascii="Arial" w:hAnsi="Arial" w:cs="Arial"/>
          <w:sz w:val="20"/>
          <w:szCs w:val="20"/>
        </w:rPr>
      </w:pPr>
      <w:r w:rsidRPr="001043CA">
        <w:rPr>
          <w:rFonts w:ascii="Arial" w:hAnsi="Arial" w:cs="Arial"/>
          <w:b/>
          <w:sz w:val="20"/>
          <w:szCs w:val="20"/>
        </w:rPr>
        <w:t xml:space="preserve">ART. 30 – </w:t>
      </w:r>
      <w:r w:rsidRPr="001043CA">
        <w:rPr>
          <w:rFonts w:ascii="Arial" w:hAnsi="Arial" w:cs="Arial"/>
          <w:sz w:val="20"/>
          <w:szCs w:val="20"/>
        </w:rPr>
        <w:t>O jogador que faltar a uma rodada sem justificativa plausível, será eliminado da competição.</w:t>
      </w:r>
    </w:p>
    <w:p w:rsidR="009B53B8" w:rsidRPr="001043CA" w:rsidRDefault="009B53B8" w:rsidP="009B53B8">
      <w:pPr>
        <w:jc w:val="both"/>
        <w:rPr>
          <w:rFonts w:ascii="Arial" w:hAnsi="Arial" w:cs="Arial"/>
          <w:sz w:val="20"/>
          <w:szCs w:val="20"/>
        </w:rPr>
      </w:pPr>
    </w:p>
    <w:p w:rsidR="009B53B8" w:rsidRPr="001043CA" w:rsidRDefault="009B53B8" w:rsidP="009B53B8">
      <w:pPr>
        <w:jc w:val="both"/>
        <w:rPr>
          <w:rFonts w:ascii="Arial" w:hAnsi="Arial" w:cs="Arial"/>
          <w:sz w:val="20"/>
          <w:szCs w:val="20"/>
        </w:rPr>
      </w:pPr>
      <w:r w:rsidRPr="001043CA">
        <w:rPr>
          <w:rFonts w:ascii="Arial" w:hAnsi="Arial" w:cs="Arial"/>
          <w:b/>
          <w:sz w:val="20"/>
          <w:szCs w:val="20"/>
        </w:rPr>
        <w:t xml:space="preserve">ART. 31 </w:t>
      </w:r>
      <w:r w:rsidRPr="001043CA">
        <w:rPr>
          <w:rFonts w:ascii="Arial" w:hAnsi="Arial" w:cs="Arial"/>
          <w:sz w:val="20"/>
          <w:szCs w:val="20"/>
        </w:rPr>
        <w:t xml:space="preserve">– Não haverá possibilidade de solicitação de </w:t>
      </w:r>
      <w:r w:rsidRPr="001043CA">
        <w:rPr>
          <w:rFonts w:ascii="Arial" w:hAnsi="Arial" w:cs="Arial"/>
          <w:i/>
          <w:sz w:val="20"/>
          <w:szCs w:val="20"/>
        </w:rPr>
        <w:t xml:space="preserve">bye </w:t>
      </w:r>
      <w:r w:rsidRPr="001043CA">
        <w:rPr>
          <w:rFonts w:ascii="Arial" w:hAnsi="Arial" w:cs="Arial"/>
          <w:sz w:val="20"/>
          <w:szCs w:val="20"/>
        </w:rPr>
        <w:t xml:space="preserve">ausente. </w:t>
      </w:r>
    </w:p>
    <w:p w:rsidR="009B53B8" w:rsidRDefault="009B53B8" w:rsidP="009B53B8">
      <w:pPr>
        <w:jc w:val="both"/>
        <w:rPr>
          <w:rFonts w:ascii="Arial" w:hAnsi="Arial" w:cs="Arial"/>
          <w:sz w:val="20"/>
          <w:szCs w:val="20"/>
        </w:rPr>
      </w:pPr>
    </w:p>
    <w:p w:rsidR="009B53B8" w:rsidRDefault="009B53B8" w:rsidP="009B53B8">
      <w:pPr>
        <w:autoSpaceDE w:val="0"/>
        <w:autoSpaceDN w:val="0"/>
        <w:adjustRightInd w:val="0"/>
        <w:jc w:val="both"/>
        <w:rPr>
          <w:rFonts w:ascii="Calibri" w:hAnsi="Calibri" w:cs="Verdana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 xml:space="preserve">ART. 32 </w:t>
      </w:r>
      <w:r>
        <w:rPr>
          <w:rFonts w:ascii="Arial" w:hAnsi="Arial" w:cs="Arial"/>
          <w:sz w:val="20"/>
          <w:szCs w:val="20"/>
        </w:rPr>
        <w:t xml:space="preserve">- </w:t>
      </w:r>
      <w:r w:rsidRPr="00026F77">
        <w:rPr>
          <w:rFonts w:ascii="Arial" w:hAnsi="Arial" w:cs="Arial"/>
          <w:sz w:val="20"/>
          <w:szCs w:val="20"/>
        </w:rPr>
        <w:t>Se um jogador estiver incapacitado de mover as peças, deverá providenciar um assistente, aprovado pelo Árbitro Principal, para executar esta tarefa, conforme item 4.9 das Leis da Federação Internacional de Xadrez.</w:t>
      </w:r>
      <w:r w:rsidRPr="007038A0">
        <w:rPr>
          <w:rFonts w:ascii="Calibri" w:hAnsi="Calibri" w:cs="Verdana"/>
          <w:sz w:val="21"/>
          <w:szCs w:val="21"/>
        </w:rPr>
        <w:t xml:space="preserve"> </w:t>
      </w:r>
    </w:p>
    <w:p w:rsidR="009B53B8" w:rsidRDefault="009B53B8" w:rsidP="009B53B8">
      <w:pPr>
        <w:autoSpaceDE w:val="0"/>
        <w:autoSpaceDN w:val="0"/>
        <w:adjustRightInd w:val="0"/>
        <w:jc w:val="both"/>
        <w:rPr>
          <w:rFonts w:ascii="Calibri" w:hAnsi="Calibri" w:cs="Verdana"/>
          <w:sz w:val="21"/>
          <w:szCs w:val="21"/>
        </w:rPr>
      </w:pPr>
    </w:p>
    <w:p w:rsidR="009B53B8" w:rsidRPr="001043CA" w:rsidRDefault="009B53B8" w:rsidP="009B53B8">
      <w:pPr>
        <w:jc w:val="both"/>
        <w:rPr>
          <w:rFonts w:ascii="Arial" w:hAnsi="Arial" w:cs="Arial"/>
          <w:sz w:val="20"/>
          <w:szCs w:val="20"/>
        </w:rPr>
      </w:pPr>
      <w:r w:rsidRPr="001043CA">
        <w:rPr>
          <w:rFonts w:ascii="Arial" w:hAnsi="Arial" w:cs="Arial"/>
          <w:b/>
          <w:sz w:val="20"/>
          <w:szCs w:val="20"/>
        </w:rPr>
        <w:t>ART. 3</w:t>
      </w:r>
      <w:r>
        <w:rPr>
          <w:rFonts w:ascii="Arial" w:hAnsi="Arial" w:cs="Arial"/>
          <w:b/>
          <w:sz w:val="20"/>
          <w:szCs w:val="20"/>
        </w:rPr>
        <w:t>3</w:t>
      </w:r>
      <w:r w:rsidRPr="001043CA">
        <w:rPr>
          <w:rFonts w:ascii="Arial" w:hAnsi="Arial" w:cs="Arial"/>
          <w:b/>
          <w:sz w:val="20"/>
          <w:szCs w:val="20"/>
        </w:rPr>
        <w:t xml:space="preserve"> </w:t>
      </w:r>
      <w:r w:rsidRPr="001043CA">
        <w:rPr>
          <w:rFonts w:ascii="Arial" w:hAnsi="Arial" w:cs="Arial"/>
          <w:sz w:val="20"/>
          <w:szCs w:val="20"/>
        </w:rPr>
        <w:t xml:space="preserve">- Os números de emparceiramento serão definidos pela ordem: 1. Rating </w:t>
      </w:r>
      <w:proofErr w:type="spellStart"/>
      <w:r w:rsidRPr="001043CA">
        <w:rPr>
          <w:rFonts w:ascii="Arial" w:hAnsi="Arial" w:cs="Arial"/>
          <w:sz w:val="20"/>
          <w:szCs w:val="20"/>
        </w:rPr>
        <w:t>Fide</w:t>
      </w:r>
      <w:proofErr w:type="spellEnd"/>
      <w:r w:rsidRPr="001043CA">
        <w:rPr>
          <w:rFonts w:ascii="Arial" w:hAnsi="Arial" w:cs="Arial"/>
          <w:sz w:val="20"/>
          <w:szCs w:val="20"/>
        </w:rPr>
        <w:t xml:space="preserve"> Pensado; 2. Rating CBX Pensado 3. Ordem alfabética do </w:t>
      </w:r>
      <w:r>
        <w:rPr>
          <w:rFonts w:ascii="Arial" w:hAnsi="Arial" w:cs="Arial"/>
          <w:sz w:val="20"/>
          <w:szCs w:val="20"/>
        </w:rPr>
        <w:t xml:space="preserve">último </w:t>
      </w:r>
      <w:r w:rsidRPr="001043CA">
        <w:rPr>
          <w:rFonts w:ascii="Arial" w:hAnsi="Arial" w:cs="Arial"/>
          <w:sz w:val="20"/>
          <w:szCs w:val="20"/>
        </w:rPr>
        <w:t xml:space="preserve">sobrenome. </w:t>
      </w:r>
    </w:p>
    <w:p w:rsidR="009B53B8" w:rsidRPr="001043CA" w:rsidRDefault="009B53B8" w:rsidP="009B53B8">
      <w:pPr>
        <w:jc w:val="both"/>
        <w:rPr>
          <w:rFonts w:ascii="Arial" w:hAnsi="Arial" w:cs="Arial"/>
          <w:sz w:val="20"/>
          <w:szCs w:val="20"/>
        </w:rPr>
      </w:pPr>
    </w:p>
    <w:p w:rsidR="009B53B8" w:rsidRPr="001043CA" w:rsidRDefault="009B53B8" w:rsidP="009B5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34</w:t>
      </w:r>
      <w:r w:rsidRPr="001043CA">
        <w:rPr>
          <w:rFonts w:ascii="Arial" w:hAnsi="Arial" w:cs="Arial"/>
          <w:b/>
          <w:sz w:val="20"/>
          <w:szCs w:val="20"/>
        </w:rPr>
        <w:t xml:space="preserve"> </w:t>
      </w:r>
      <w:r w:rsidRPr="001043CA">
        <w:rPr>
          <w:rFonts w:ascii="Arial" w:hAnsi="Arial" w:cs="Arial"/>
          <w:sz w:val="20"/>
          <w:szCs w:val="20"/>
        </w:rPr>
        <w:t>- O enxadrista que realizar a inscrição nesta competição estará integralmente de acordo com este regulamento e o folder da competição, que é</w:t>
      </w:r>
      <w:r>
        <w:rPr>
          <w:rFonts w:ascii="Arial" w:hAnsi="Arial" w:cs="Arial"/>
          <w:sz w:val="20"/>
          <w:szCs w:val="20"/>
        </w:rPr>
        <w:t xml:space="preserve"> considerado como complemento a</w:t>
      </w:r>
      <w:r w:rsidRPr="001043CA">
        <w:rPr>
          <w:rFonts w:ascii="Arial" w:hAnsi="Arial" w:cs="Arial"/>
          <w:sz w:val="20"/>
          <w:szCs w:val="20"/>
        </w:rPr>
        <w:t xml:space="preserve"> este regulamento.</w:t>
      </w:r>
    </w:p>
    <w:p w:rsidR="009B53B8" w:rsidRPr="001043CA" w:rsidRDefault="009B53B8" w:rsidP="009B53B8">
      <w:pPr>
        <w:jc w:val="both"/>
        <w:rPr>
          <w:rFonts w:ascii="Arial" w:hAnsi="Arial" w:cs="Arial"/>
          <w:sz w:val="20"/>
          <w:szCs w:val="20"/>
        </w:rPr>
      </w:pPr>
    </w:p>
    <w:p w:rsidR="009B53B8" w:rsidRPr="001043CA" w:rsidRDefault="009B53B8" w:rsidP="009B5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35</w:t>
      </w:r>
      <w:r w:rsidRPr="001043CA">
        <w:rPr>
          <w:rFonts w:ascii="Arial" w:hAnsi="Arial" w:cs="Arial"/>
          <w:b/>
          <w:sz w:val="20"/>
          <w:szCs w:val="20"/>
        </w:rPr>
        <w:t xml:space="preserve"> </w:t>
      </w:r>
      <w:r w:rsidRPr="001043CA">
        <w:rPr>
          <w:rFonts w:ascii="Arial" w:hAnsi="Arial" w:cs="Arial"/>
          <w:sz w:val="20"/>
          <w:szCs w:val="20"/>
        </w:rPr>
        <w:t xml:space="preserve">– Durante a partida não será permitido em hipótese alguma o porte de celular ou qualquer outro equipamento eletrônico no </w:t>
      </w:r>
      <w:r>
        <w:rPr>
          <w:rFonts w:ascii="Arial" w:hAnsi="Arial" w:cs="Arial"/>
          <w:sz w:val="20"/>
          <w:szCs w:val="20"/>
        </w:rPr>
        <w:t>salão</w:t>
      </w:r>
      <w:r w:rsidRPr="001043CA">
        <w:rPr>
          <w:rFonts w:ascii="Arial" w:hAnsi="Arial" w:cs="Arial"/>
          <w:sz w:val="20"/>
          <w:szCs w:val="20"/>
        </w:rPr>
        <w:t xml:space="preserve"> de jogo</w:t>
      </w:r>
      <w:r>
        <w:rPr>
          <w:rFonts w:ascii="Arial" w:hAnsi="Arial" w:cs="Arial"/>
          <w:sz w:val="20"/>
          <w:szCs w:val="20"/>
        </w:rPr>
        <w:t>s</w:t>
      </w:r>
      <w:r w:rsidRPr="001043CA">
        <w:rPr>
          <w:rFonts w:ascii="Arial" w:hAnsi="Arial" w:cs="Arial"/>
          <w:sz w:val="20"/>
          <w:szCs w:val="20"/>
        </w:rPr>
        <w:t xml:space="preserve">. </w:t>
      </w:r>
    </w:p>
    <w:p w:rsidR="009B53B8" w:rsidRPr="001043CA" w:rsidRDefault="009B53B8" w:rsidP="009B53B8">
      <w:pPr>
        <w:jc w:val="both"/>
        <w:rPr>
          <w:rFonts w:ascii="Arial" w:hAnsi="Arial" w:cs="Arial"/>
          <w:sz w:val="20"/>
          <w:szCs w:val="20"/>
        </w:rPr>
      </w:pPr>
    </w:p>
    <w:p w:rsidR="009B53B8" w:rsidRDefault="009B53B8" w:rsidP="009B53B8">
      <w:pPr>
        <w:jc w:val="both"/>
        <w:rPr>
          <w:rFonts w:ascii="Arial" w:hAnsi="Arial" w:cs="Arial"/>
          <w:b/>
          <w:sz w:val="20"/>
          <w:szCs w:val="20"/>
        </w:rPr>
      </w:pPr>
    </w:p>
    <w:p w:rsidR="009B53B8" w:rsidRDefault="009B53B8" w:rsidP="009B5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36</w:t>
      </w:r>
      <w:r w:rsidRPr="001043CA">
        <w:rPr>
          <w:rFonts w:ascii="Arial" w:hAnsi="Arial" w:cs="Arial"/>
          <w:b/>
          <w:sz w:val="20"/>
          <w:szCs w:val="20"/>
        </w:rPr>
        <w:t xml:space="preserve"> </w:t>
      </w:r>
      <w:r w:rsidRPr="001043CA">
        <w:rPr>
          <w:rFonts w:ascii="Arial" w:hAnsi="Arial" w:cs="Arial"/>
          <w:sz w:val="20"/>
          <w:szCs w:val="20"/>
        </w:rPr>
        <w:t xml:space="preserve">- Cabe ao jogador de brancas apresentar material completo de jogo (peças e relógio). Caso não tenha no momento, ele terá o tempo de efetivação de </w:t>
      </w:r>
      <w:proofErr w:type="spellStart"/>
      <w:r w:rsidRPr="001043CA">
        <w:rPr>
          <w:rFonts w:ascii="Arial" w:hAnsi="Arial" w:cs="Arial"/>
          <w:sz w:val="20"/>
          <w:szCs w:val="20"/>
        </w:rPr>
        <w:t>w.o</w:t>
      </w:r>
      <w:proofErr w:type="spellEnd"/>
      <w:r w:rsidRPr="001043CA">
        <w:rPr>
          <w:rFonts w:ascii="Arial" w:hAnsi="Arial" w:cs="Arial"/>
          <w:sz w:val="20"/>
          <w:szCs w:val="20"/>
        </w:rPr>
        <w:t>. para providenciar o material. Sempre haverá preferência pelo relógio digital.</w:t>
      </w:r>
    </w:p>
    <w:p w:rsidR="009B53B8" w:rsidRDefault="009B53B8" w:rsidP="009B53B8">
      <w:pPr>
        <w:jc w:val="both"/>
        <w:rPr>
          <w:rFonts w:ascii="Arial" w:hAnsi="Arial" w:cs="Arial"/>
          <w:sz w:val="20"/>
          <w:szCs w:val="20"/>
        </w:rPr>
      </w:pPr>
    </w:p>
    <w:p w:rsidR="009B53B8" w:rsidRDefault="009B53B8" w:rsidP="009B53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37 </w:t>
      </w:r>
      <w:r>
        <w:rPr>
          <w:rFonts w:ascii="Arial" w:hAnsi="Arial" w:cs="Arial"/>
          <w:sz w:val="20"/>
          <w:szCs w:val="20"/>
        </w:rPr>
        <w:t xml:space="preserve">- </w:t>
      </w:r>
      <w:r w:rsidRPr="004A5319">
        <w:rPr>
          <w:rFonts w:ascii="Arial" w:hAnsi="Arial" w:cs="Arial"/>
          <w:sz w:val="20"/>
          <w:szCs w:val="20"/>
        </w:rPr>
        <w:t>Pais, professores</w:t>
      </w:r>
      <w:r>
        <w:rPr>
          <w:rFonts w:ascii="Arial" w:hAnsi="Arial" w:cs="Arial"/>
          <w:sz w:val="20"/>
          <w:szCs w:val="20"/>
        </w:rPr>
        <w:t>,</w:t>
      </w:r>
      <w:r w:rsidRPr="004A5319">
        <w:rPr>
          <w:rFonts w:ascii="Arial" w:hAnsi="Arial" w:cs="Arial"/>
          <w:sz w:val="20"/>
          <w:szCs w:val="20"/>
        </w:rPr>
        <w:t xml:space="preserve"> técnicos</w:t>
      </w:r>
      <w:r>
        <w:rPr>
          <w:rFonts w:ascii="Arial" w:hAnsi="Arial" w:cs="Arial"/>
          <w:sz w:val="20"/>
          <w:szCs w:val="20"/>
        </w:rPr>
        <w:t>, chefes de delegação ou qualquer outra pessoa ligada às equipes</w:t>
      </w:r>
      <w:r w:rsidRPr="004A5319">
        <w:rPr>
          <w:rFonts w:ascii="Arial" w:hAnsi="Arial" w:cs="Arial"/>
          <w:sz w:val="20"/>
          <w:szCs w:val="20"/>
        </w:rPr>
        <w:t xml:space="preserve"> são, conforme p</w:t>
      </w:r>
      <w:r>
        <w:rPr>
          <w:rFonts w:ascii="Arial" w:hAnsi="Arial" w:cs="Arial"/>
          <w:sz w:val="20"/>
          <w:szCs w:val="20"/>
        </w:rPr>
        <w:t xml:space="preserve">reconiza a Lei do Xadrez, </w:t>
      </w:r>
      <w:r w:rsidRPr="004A5319">
        <w:rPr>
          <w:rFonts w:ascii="Arial" w:hAnsi="Arial" w:cs="Arial"/>
          <w:sz w:val="20"/>
          <w:szCs w:val="20"/>
        </w:rPr>
        <w:t>espectadores durante as partidas, sendo terminantemente proibido qu</w:t>
      </w:r>
      <w:r>
        <w:rPr>
          <w:rFonts w:ascii="Arial" w:hAnsi="Arial" w:cs="Arial"/>
          <w:sz w:val="20"/>
          <w:szCs w:val="20"/>
        </w:rPr>
        <w:t>alquer intervenção nas partidas</w:t>
      </w:r>
      <w:r w:rsidRPr="004A5319">
        <w:rPr>
          <w:rFonts w:ascii="Arial" w:hAnsi="Arial" w:cs="Arial"/>
          <w:sz w:val="20"/>
          <w:szCs w:val="20"/>
        </w:rPr>
        <w:t xml:space="preserve">. Caso a </w:t>
      </w:r>
      <w:r>
        <w:rPr>
          <w:rFonts w:ascii="Arial" w:hAnsi="Arial" w:cs="Arial"/>
          <w:sz w:val="20"/>
          <w:szCs w:val="20"/>
        </w:rPr>
        <w:t xml:space="preserve">equipe de arbitragem </w:t>
      </w:r>
      <w:r w:rsidRPr="004A5319">
        <w:rPr>
          <w:rFonts w:ascii="Arial" w:hAnsi="Arial" w:cs="Arial"/>
          <w:sz w:val="20"/>
          <w:szCs w:val="20"/>
        </w:rPr>
        <w:t xml:space="preserve">constate ou tome conhecimento de algum caso de influência externa nas partidas, os responsáveis estarão sujeitos às punições previstas </w:t>
      </w:r>
      <w:r>
        <w:rPr>
          <w:rFonts w:ascii="Arial" w:hAnsi="Arial" w:cs="Arial"/>
          <w:sz w:val="20"/>
          <w:szCs w:val="20"/>
        </w:rPr>
        <w:t>n</w:t>
      </w:r>
      <w:r w:rsidRPr="004A5319">
        <w:rPr>
          <w:rFonts w:ascii="Arial" w:hAnsi="Arial" w:cs="Arial"/>
          <w:sz w:val="20"/>
          <w:szCs w:val="20"/>
        </w:rPr>
        <w:t>as leis do xadrez</w:t>
      </w:r>
      <w:r>
        <w:rPr>
          <w:rFonts w:ascii="Arial" w:hAnsi="Arial" w:cs="Arial"/>
          <w:sz w:val="20"/>
          <w:szCs w:val="20"/>
        </w:rPr>
        <w:t xml:space="preserve"> da FIDE</w:t>
      </w:r>
      <w:r w:rsidRPr="004A5319">
        <w:rPr>
          <w:rFonts w:ascii="Arial" w:hAnsi="Arial" w:cs="Arial"/>
          <w:sz w:val="20"/>
          <w:szCs w:val="20"/>
        </w:rPr>
        <w:t>.</w:t>
      </w:r>
    </w:p>
    <w:p w:rsidR="009B53B8" w:rsidRDefault="009B53B8" w:rsidP="009B53B8">
      <w:pPr>
        <w:jc w:val="both"/>
        <w:rPr>
          <w:rFonts w:ascii="Arial" w:hAnsi="Arial" w:cs="Arial"/>
          <w:sz w:val="20"/>
          <w:szCs w:val="20"/>
        </w:rPr>
      </w:pPr>
    </w:p>
    <w:p w:rsidR="009B53B8" w:rsidRPr="00D47C87" w:rsidRDefault="009B53B8" w:rsidP="009B53B8">
      <w:pPr>
        <w:jc w:val="both"/>
        <w:rPr>
          <w:rFonts w:ascii="Arial" w:hAnsi="Arial" w:cs="Arial"/>
          <w:sz w:val="20"/>
          <w:szCs w:val="20"/>
        </w:rPr>
      </w:pPr>
      <w:r w:rsidRPr="00D47C87">
        <w:rPr>
          <w:rFonts w:ascii="Arial" w:hAnsi="Arial" w:cs="Arial"/>
          <w:b/>
          <w:sz w:val="20"/>
          <w:szCs w:val="20"/>
        </w:rPr>
        <w:t>ART. 3</w:t>
      </w:r>
      <w:r>
        <w:rPr>
          <w:rFonts w:ascii="Arial" w:hAnsi="Arial" w:cs="Arial"/>
          <w:b/>
          <w:sz w:val="20"/>
          <w:szCs w:val="20"/>
        </w:rPr>
        <w:t>8</w:t>
      </w:r>
      <w:r w:rsidRPr="00D47C87">
        <w:rPr>
          <w:rFonts w:ascii="Arial" w:hAnsi="Arial" w:cs="Arial"/>
          <w:sz w:val="20"/>
          <w:szCs w:val="20"/>
        </w:rPr>
        <w:t xml:space="preserve"> - O local de exposição de banners das equipes será definido pela organização do evento.  Trazer o pedestal.</w:t>
      </w:r>
    </w:p>
    <w:p w:rsidR="009B53B8" w:rsidRPr="00D47C87" w:rsidRDefault="009B53B8" w:rsidP="009B53B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47C87">
        <w:rPr>
          <w:rFonts w:ascii="Arial" w:hAnsi="Arial" w:cs="Arial"/>
          <w:b/>
          <w:sz w:val="20"/>
          <w:szCs w:val="20"/>
        </w:rPr>
        <w:t>§  1.º</w:t>
      </w:r>
      <w:proofErr w:type="gramEnd"/>
      <w:r w:rsidRPr="00D47C87">
        <w:rPr>
          <w:rFonts w:ascii="Arial" w:hAnsi="Arial" w:cs="Arial"/>
          <w:sz w:val="20"/>
          <w:szCs w:val="20"/>
        </w:rPr>
        <w:t xml:space="preserve"> - O tamanho máximo permitido dos banners será: 1,20 m vertical x 0,90 m horizontal;</w:t>
      </w:r>
    </w:p>
    <w:p w:rsidR="009B53B8" w:rsidRPr="00D47C87" w:rsidRDefault="009B53B8" w:rsidP="009B53B8">
      <w:pPr>
        <w:jc w:val="both"/>
        <w:rPr>
          <w:rFonts w:ascii="Arial" w:hAnsi="Arial" w:cs="Arial"/>
          <w:sz w:val="20"/>
          <w:szCs w:val="20"/>
        </w:rPr>
      </w:pPr>
      <w:r w:rsidRPr="00D47C87">
        <w:rPr>
          <w:rFonts w:ascii="Arial" w:hAnsi="Arial" w:cs="Arial"/>
          <w:b/>
          <w:sz w:val="20"/>
          <w:szCs w:val="20"/>
        </w:rPr>
        <w:t>§ 2.º</w:t>
      </w:r>
      <w:r w:rsidRPr="00D47C87">
        <w:rPr>
          <w:rFonts w:ascii="Arial" w:hAnsi="Arial" w:cs="Arial"/>
          <w:sz w:val="20"/>
          <w:szCs w:val="20"/>
        </w:rPr>
        <w:t xml:space="preserve"> - A comercialização de produtos nas dependências do local do evento somente com autorização prévia da organização do evento.</w:t>
      </w:r>
    </w:p>
    <w:p w:rsidR="009B53B8" w:rsidRPr="001043CA" w:rsidRDefault="009B53B8" w:rsidP="009B53B8">
      <w:pPr>
        <w:jc w:val="both"/>
        <w:rPr>
          <w:rFonts w:ascii="Arial" w:hAnsi="Arial" w:cs="Arial"/>
          <w:sz w:val="20"/>
          <w:szCs w:val="20"/>
        </w:rPr>
      </w:pPr>
    </w:p>
    <w:p w:rsidR="009B53B8" w:rsidRPr="001043CA" w:rsidRDefault="009B53B8" w:rsidP="009B53B8">
      <w:pPr>
        <w:jc w:val="both"/>
        <w:rPr>
          <w:rFonts w:ascii="Arial" w:hAnsi="Arial" w:cs="Arial"/>
          <w:sz w:val="20"/>
          <w:szCs w:val="20"/>
        </w:rPr>
      </w:pPr>
      <w:r w:rsidRPr="001043CA">
        <w:rPr>
          <w:rFonts w:ascii="Arial" w:hAnsi="Arial" w:cs="Arial"/>
          <w:b/>
          <w:sz w:val="20"/>
          <w:szCs w:val="20"/>
        </w:rPr>
        <w:t>ART. 3</w:t>
      </w:r>
      <w:r>
        <w:rPr>
          <w:rFonts w:ascii="Arial" w:hAnsi="Arial" w:cs="Arial"/>
          <w:b/>
          <w:sz w:val="20"/>
          <w:szCs w:val="20"/>
        </w:rPr>
        <w:t>9</w:t>
      </w:r>
      <w:r w:rsidRPr="001043CA">
        <w:rPr>
          <w:rFonts w:ascii="Arial" w:hAnsi="Arial" w:cs="Arial"/>
          <w:b/>
          <w:sz w:val="20"/>
          <w:szCs w:val="20"/>
        </w:rPr>
        <w:t xml:space="preserve"> </w:t>
      </w:r>
      <w:r w:rsidRPr="001043CA">
        <w:rPr>
          <w:rFonts w:ascii="Arial" w:hAnsi="Arial" w:cs="Arial"/>
          <w:sz w:val="20"/>
          <w:szCs w:val="20"/>
        </w:rPr>
        <w:t xml:space="preserve">- Os casos omissos neste regulamento serão resolvidos pelo Diretor do evento </w:t>
      </w:r>
      <w:r>
        <w:rPr>
          <w:rFonts w:ascii="Arial" w:hAnsi="Arial" w:cs="Arial"/>
          <w:sz w:val="20"/>
          <w:szCs w:val="20"/>
        </w:rPr>
        <w:t>juntamente com a</w:t>
      </w:r>
      <w:r w:rsidRPr="001043CA">
        <w:rPr>
          <w:rFonts w:ascii="Arial" w:hAnsi="Arial" w:cs="Arial"/>
          <w:sz w:val="20"/>
          <w:szCs w:val="20"/>
        </w:rPr>
        <w:t xml:space="preserve"> equipe de arbitragem.</w:t>
      </w:r>
    </w:p>
    <w:p w:rsidR="009B53B8" w:rsidRPr="001043CA" w:rsidRDefault="009B53B8" w:rsidP="009B53B8">
      <w:pPr>
        <w:jc w:val="both"/>
        <w:rPr>
          <w:rFonts w:ascii="Arial" w:hAnsi="Arial" w:cs="Arial"/>
          <w:sz w:val="20"/>
          <w:szCs w:val="20"/>
        </w:rPr>
      </w:pPr>
    </w:p>
    <w:p w:rsidR="009B53B8" w:rsidRPr="001043CA" w:rsidRDefault="009B53B8" w:rsidP="009B53B8">
      <w:pPr>
        <w:jc w:val="both"/>
        <w:rPr>
          <w:rFonts w:ascii="Arial" w:hAnsi="Arial" w:cs="Arial"/>
          <w:sz w:val="20"/>
          <w:szCs w:val="20"/>
        </w:rPr>
      </w:pPr>
      <w:r w:rsidRPr="001043CA"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40</w:t>
      </w:r>
      <w:r w:rsidRPr="001043CA">
        <w:rPr>
          <w:rFonts w:ascii="Arial" w:hAnsi="Arial" w:cs="Arial"/>
          <w:b/>
          <w:sz w:val="20"/>
          <w:szCs w:val="20"/>
        </w:rPr>
        <w:t xml:space="preserve"> </w:t>
      </w:r>
      <w:r w:rsidRPr="001043CA">
        <w:rPr>
          <w:rFonts w:ascii="Arial" w:hAnsi="Arial" w:cs="Arial"/>
          <w:sz w:val="20"/>
          <w:szCs w:val="20"/>
        </w:rPr>
        <w:t xml:space="preserve">– Este regulamento sofreu alterações com anuência da Presidência da FEXPAR em </w:t>
      </w:r>
      <w:r>
        <w:rPr>
          <w:rFonts w:ascii="Arial" w:hAnsi="Arial" w:cs="Arial"/>
          <w:sz w:val="20"/>
          <w:szCs w:val="20"/>
        </w:rPr>
        <w:t>05</w:t>
      </w:r>
      <w:r w:rsidRPr="001043CA">
        <w:rPr>
          <w:rFonts w:ascii="Arial" w:hAnsi="Arial" w:cs="Arial"/>
          <w:sz w:val="20"/>
          <w:szCs w:val="20"/>
        </w:rPr>
        <w:t xml:space="preserve"> de fevereiro de 201</w:t>
      </w:r>
      <w:r>
        <w:rPr>
          <w:rFonts w:ascii="Arial" w:hAnsi="Arial" w:cs="Arial"/>
          <w:sz w:val="20"/>
          <w:szCs w:val="20"/>
        </w:rPr>
        <w:t>8</w:t>
      </w:r>
      <w:r w:rsidRPr="001043CA">
        <w:rPr>
          <w:rFonts w:ascii="Arial" w:hAnsi="Arial" w:cs="Arial"/>
          <w:sz w:val="20"/>
          <w:szCs w:val="20"/>
        </w:rPr>
        <w:t xml:space="preserve">. </w:t>
      </w:r>
    </w:p>
    <w:p w:rsidR="009B53B8" w:rsidRPr="001043CA" w:rsidRDefault="009B53B8" w:rsidP="009B53B8">
      <w:pPr>
        <w:jc w:val="both"/>
        <w:rPr>
          <w:rFonts w:ascii="Calibri" w:hAnsi="Calibri"/>
          <w:color w:val="FF0000"/>
          <w:sz w:val="21"/>
          <w:szCs w:val="21"/>
        </w:rPr>
      </w:pPr>
    </w:p>
    <w:p w:rsidR="009B53B8" w:rsidRPr="00026F77" w:rsidRDefault="009B53B8" w:rsidP="009B53B8">
      <w:pPr>
        <w:autoSpaceDE w:val="0"/>
        <w:autoSpaceDN w:val="0"/>
        <w:adjustRightInd w:val="0"/>
        <w:jc w:val="both"/>
        <w:rPr>
          <w:rFonts w:ascii="Calibri" w:hAnsi="Calibri" w:cs="Verdana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9"/>
        <w:gridCol w:w="4245"/>
      </w:tblGrid>
      <w:tr w:rsidR="009B53B8" w:rsidRPr="00DB062B" w:rsidTr="005B1BBE">
        <w:tc>
          <w:tcPr>
            <w:tcW w:w="4322" w:type="dxa"/>
          </w:tcPr>
          <w:p w:rsidR="009B53B8" w:rsidRDefault="009B53B8" w:rsidP="005B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3B8" w:rsidRPr="00DB062B" w:rsidRDefault="009B53B8" w:rsidP="005B1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62B">
              <w:rPr>
                <w:rFonts w:ascii="Arial" w:hAnsi="Arial" w:cs="Arial"/>
                <w:sz w:val="20"/>
                <w:szCs w:val="20"/>
              </w:rPr>
              <w:t xml:space="preserve">Curitiba,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B062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fevereiro</w:t>
            </w:r>
            <w:r w:rsidRPr="00DB062B">
              <w:rPr>
                <w:rFonts w:ascii="Arial" w:hAnsi="Arial" w:cs="Arial"/>
                <w:sz w:val="20"/>
                <w:szCs w:val="20"/>
              </w:rPr>
              <w:t xml:space="preserve"> de 201</w:t>
            </w:r>
            <w:r w:rsidR="006A68F1">
              <w:rPr>
                <w:rFonts w:ascii="Arial" w:hAnsi="Arial" w:cs="Arial"/>
                <w:sz w:val="20"/>
                <w:szCs w:val="20"/>
              </w:rPr>
              <w:t>9</w:t>
            </w:r>
            <w:r w:rsidRPr="00DB06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22" w:type="dxa"/>
          </w:tcPr>
          <w:p w:rsidR="009B53B8" w:rsidRPr="00DB062B" w:rsidRDefault="009B53B8" w:rsidP="005B1B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3B8" w:rsidRPr="00DB062B" w:rsidRDefault="009B53B8" w:rsidP="009B53B8">
      <w:pPr>
        <w:rPr>
          <w:sz w:val="22"/>
          <w:szCs w:val="22"/>
        </w:rPr>
      </w:pPr>
    </w:p>
    <w:p w:rsidR="009B53B8" w:rsidRDefault="009B53B8" w:rsidP="009B53B8">
      <w:pPr>
        <w:spacing w:after="120"/>
        <w:jc w:val="center"/>
        <w:rPr>
          <w:rFonts w:ascii="Arial" w:hAnsi="Arial" w:cs="Arial"/>
          <w:b/>
          <w:szCs w:val="20"/>
          <w:u w:val="single"/>
        </w:rPr>
      </w:pPr>
    </w:p>
    <w:p w:rsidR="009B53B8" w:rsidRDefault="009B53B8"/>
    <w:sectPr w:rsidR="009B53B8" w:rsidSect="00322C82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70" w:rsidRDefault="00ED5970" w:rsidP="009B53B8">
      <w:r>
        <w:separator/>
      </w:r>
    </w:p>
  </w:endnote>
  <w:endnote w:type="continuationSeparator" w:id="0">
    <w:p w:rsidR="00ED5970" w:rsidRDefault="00ED5970" w:rsidP="009B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70" w:rsidRDefault="00ED5970" w:rsidP="009B53B8">
      <w:r>
        <w:separator/>
      </w:r>
    </w:p>
  </w:footnote>
  <w:footnote w:type="continuationSeparator" w:id="0">
    <w:p w:rsidR="00ED5970" w:rsidRDefault="00ED5970" w:rsidP="009B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48" w:rsidRPr="007A75D1" w:rsidRDefault="009B53B8" w:rsidP="007A75D1">
    <w:pPr>
      <w:pStyle w:val="Ttulo1"/>
      <w:rPr>
        <w:rFonts w:ascii="Calibri" w:hAnsi="Calibri" w:cs="Calibri"/>
        <w:sz w:val="28"/>
        <w:szCs w:val="28"/>
      </w:rPr>
    </w:pPr>
    <w:r>
      <w:rPr>
        <w:rFonts w:ascii="Calibri" w:hAnsi="Calibri" w:cs="Calibri"/>
        <w:b w:val="0"/>
        <w:noProof/>
        <w:sz w:val="28"/>
        <w:szCs w:val="28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37465</wp:posOffset>
          </wp:positionV>
          <wp:extent cx="1466850" cy="810895"/>
          <wp:effectExtent l="0" t="0" r="0" b="8255"/>
          <wp:wrapNone/>
          <wp:docPr id="1" name="Imagem 1" descr="fexpar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fexpar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574">
      <w:rPr>
        <w:rFonts w:ascii="Calibri" w:hAnsi="Calibri" w:cs="Calibri"/>
        <w:sz w:val="28"/>
        <w:szCs w:val="28"/>
        <w:lang w:val="pt-BR"/>
      </w:rPr>
      <w:t xml:space="preserve">                           </w:t>
    </w:r>
    <w:r w:rsidR="00A50574" w:rsidRPr="007A75D1">
      <w:rPr>
        <w:rFonts w:ascii="Calibri" w:hAnsi="Calibri" w:cs="Calibri"/>
        <w:sz w:val="28"/>
        <w:szCs w:val="28"/>
      </w:rPr>
      <w:t>FEDERAÇÃO DE XADREZ DO PARANÁ - FEXPAR</w:t>
    </w:r>
  </w:p>
  <w:p w:rsidR="00CE6C48" w:rsidRPr="005F4E38" w:rsidRDefault="00A50574" w:rsidP="007A75D1">
    <w:pPr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    </w:t>
    </w:r>
    <w:r w:rsidRPr="005F4E38">
      <w:rPr>
        <w:rFonts w:ascii="Calibri" w:hAnsi="Calibri" w:cs="Calibri"/>
        <w:sz w:val="16"/>
      </w:rPr>
      <w:t>Declarada de utilidade pública estadual - Lei 12437 de 13 de janeiro de 1999</w:t>
    </w:r>
  </w:p>
  <w:p w:rsidR="00CE6C48" w:rsidRPr="005F4E38" w:rsidRDefault="00A50574" w:rsidP="007A75D1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5F4E38">
      <w:rPr>
        <w:rFonts w:ascii="Calibri" w:hAnsi="Calibri" w:cs="Calibri"/>
        <w:sz w:val="20"/>
        <w:szCs w:val="20"/>
      </w:rPr>
      <w:t>Filiada à Confederação Brasileira de Xadrez</w:t>
    </w:r>
  </w:p>
  <w:p w:rsidR="00CE6C48" w:rsidRPr="005F4E38" w:rsidRDefault="00A50574" w:rsidP="007A75D1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5F4E38">
      <w:rPr>
        <w:rFonts w:ascii="Calibri" w:hAnsi="Calibri" w:cs="Calibri"/>
        <w:sz w:val="20"/>
        <w:szCs w:val="20"/>
      </w:rPr>
      <w:t xml:space="preserve">Rua Almirante Barroso </w:t>
    </w:r>
    <w:proofErr w:type="gramStart"/>
    <w:r w:rsidRPr="005F4E38">
      <w:rPr>
        <w:rFonts w:ascii="Calibri" w:hAnsi="Calibri" w:cs="Calibri"/>
        <w:sz w:val="20"/>
        <w:szCs w:val="20"/>
      </w:rPr>
      <w:t>142 ,</w:t>
    </w:r>
    <w:proofErr w:type="gramEnd"/>
    <w:r w:rsidRPr="005F4E38">
      <w:rPr>
        <w:rFonts w:ascii="Calibri" w:hAnsi="Calibri" w:cs="Calibri"/>
        <w:sz w:val="20"/>
        <w:szCs w:val="20"/>
      </w:rPr>
      <w:t xml:space="preserve"> São Francisco</w:t>
    </w:r>
  </w:p>
  <w:p w:rsidR="00CE6C48" w:rsidRPr="005F4E38" w:rsidRDefault="00A50574" w:rsidP="007A75D1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</w:t>
    </w:r>
    <w:r w:rsidRPr="005F4E38">
      <w:rPr>
        <w:rFonts w:ascii="Calibri" w:hAnsi="Calibri" w:cs="Calibri"/>
        <w:sz w:val="20"/>
        <w:szCs w:val="20"/>
      </w:rPr>
      <w:t>CEP 80510-240 Curitiba – PR -Tel. (0XX 41) 225 – 2742</w:t>
    </w:r>
  </w:p>
  <w:p w:rsidR="00CE6C48" w:rsidRPr="005F4E38" w:rsidRDefault="00A50574" w:rsidP="007A75D1">
    <w:pPr>
      <w:jc w:val="center"/>
      <w:rPr>
        <w:sz w:val="20"/>
        <w:szCs w:val="20"/>
      </w:rPr>
    </w:pPr>
    <w:r w:rsidRPr="005F4E38">
      <w:rPr>
        <w:rFonts w:ascii="Calibri" w:hAnsi="Calibri" w:cs="Calibri"/>
        <w:sz w:val="20"/>
        <w:szCs w:val="20"/>
      </w:rPr>
      <w:t>CNPJ 01877393/0001-89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85B"/>
    <w:multiLevelType w:val="hybridMultilevel"/>
    <w:tmpl w:val="F580B86A"/>
    <w:lvl w:ilvl="0" w:tplc="566A82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514C61"/>
    <w:multiLevelType w:val="hybridMultilevel"/>
    <w:tmpl w:val="BAD4D05C"/>
    <w:lvl w:ilvl="0" w:tplc="6A4AFE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137347"/>
    <w:multiLevelType w:val="hybridMultilevel"/>
    <w:tmpl w:val="EF040C10"/>
    <w:lvl w:ilvl="0" w:tplc="ED7688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EE45F4"/>
    <w:multiLevelType w:val="hybridMultilevel"/>
    <w:tmpl w:val="95D80B20"/>
    <w:lvl w:ilvl="0" w:tplc="C07269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F52F6D"/>
    <w:multiLevelType w:val="hybridMultilevel"/>
    <w:tmpl w:val="7518B0CE"/>
    <w:lvl w:ilvl="0" w:tplc="751E9BDA">
      <w:start w:val="1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9B15B4A"/>
    <w:multiLevelType w:val="hybridMultilevel"/>
    <w:tmpl w:val="B032FCFC"/>
    <w:lvl w:ilvl="0" w:tplc="BCDEFF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3035777"/>
    <w:multiLevelType w:val="hybridMultilevel"/>
    <w:tmpl w:val="EEE08FB8"/>
    <w:lvl w:ilvl="0" w:tplc="D1FC54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B843053"/>
    <w:multiLevelType w:val="hybridMultilevel"/>
    <w:tmpl w:val="C8D4E418"/>
    <w:lvl w:ilvl="0" w:tplc="DDBC089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ZQjdCynvTGQ8CbuuwZqkWdQRfShv9tcz1jCCHW6hJ2xhW2MRYp/JbSCrc9dr9aJaLsayfUavlFgkYAshU5+EA==" w:salt="NvjJFvHNz96AljX/JeUr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B8"/>
    <w:rsid w:val="006A68F1"/>
    <w:rsid w:val="00787402"/>
    <w:rsid w:val="007C5845"/>
    <w:rsid w:val="009B53B8"/>
    <w:rsid w:val="009D231D"/>
    <w:rsid w:val="00A50574"/>
    <w:rsid w:val="00AA29BB"/>
    <w:rsid w:val="00BA4EF6"/>
    <w:rsid w:val="00E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80C36-D688-4ABE-B9D7-3DD0E21E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53B8"/>
    <w:pPr>
      <w:keepNext/>
      <w:outlineLvl w:val="0"/>
    </w:pPr>
    <w:rPr>
      <w:rFonts w:ascii="Arial" w:hAnsi="Arial"/>
      <w:b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53B8"/>
    <w:rPr>
      <w:rFonts w:ascii="Arial" w:eastAsia="Times New Roman" w:hAnsi="Arial" w:cs="Times New Roman"/>
      <w:b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9B53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53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53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3B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2585</Words>
  <Characters>13962</Characters>
  <Application>Microsoft Office Word</Application>
  <DocSecurity>8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8529</dc:creator>
  <cp:keywords/>
  <dc:description/>
  <cp:lastModifiedBy>Rodrigo Zacarias</cp:lastModifiedBy>
  <cp:revision>4</cp:revision>
  <dcterms:created xsi:type="dcterms:W3CDTF">2019-02-19T16:08:00Z</dcterms:created>
  <dcterms:modified xsi:type="dcterms:W3CDTF">2019-02-19T23:28:00Z</dcterms:modified>
</cp:coreProperties>
</file>