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41823"/>
          <w:sz w:val="32"/>
          <w:szCs w:val="32"/>
          <w:highlight w:val="white"/>
        </w:rPr>
      </w:pPr>
      <w:r w:rsidDel="00000000" w:rsidR="00000000" w:rsidRPr="00000000">
        <w:rPr>
          <w:b w:val="1"/>
          <w:color w:val="141823"/>
          <w:sz w:val="32"/>
          <w:szCs w:val="32"/>
          <w:highlight w:val="white"/>
          <w:rtl w:val="0"/>
        </w:rPr>
        <w:t xml:space="preserve">     </w:t>
      </w:r>
      <w:r w:rsidDel="00000000" w:rsidR="00000000" w:rsidRPr="00000000">
        <w:rPr>
          <w:b w:val="1"/>
          <w:color w:val="141823"/>
          <w:sz w:val="32"/>
          <w:szCs w:val="32"/>
          <w:highlight w:val="white"/>
        </w:rPr>
        <w:drawing>
          <wp:inline distB="0" distT="0" distL="0" distR="0">
            <wp:extent cx="1085850" cy="1171575"/>
            <wp:effectExtent b="0" l="0" r="0" t="0"/>
            <wp:docPr descr="Descrição: D:\User\Documents\CircuitoPe-vermelho\10947598_961978093814302_606347066_n.jpg" id="1" name="image1.png"/>
            <a:graphic>
              <a:graphicData uri="http://schemas.openxmlformats.org/drawingml/2006/picture">
                <pic:pic>
                  <pic:nvPicPr>
                    <pic:cNvPr descr="Descrição: D:\User\Documents\CircuitoPe-vermelho\10947598_961978093814302_606347066_n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41823"/>
          <w:sz w:val="32"/>
          <w:szCs w:val="32"/>
          <w:highlight w:val="white"/>
          <w:rtl w:val="0"/>
        </w:rPr>
        <w:t xml:space="preserve">           </w:t>
      </w:r>
      <w:r w:rsidDel="00000000" w:rsidR="00000000" w:rsidRPr="00000000">
        <w:rPr>
          <w:b w:val="1"/>
          <w:color w:val="141823"/>
          <w:sz w:val="32"/>
          <w:szCs w:val="32"/>
          <w:highlight w:val="white"/>
        </w:rPr>
        <w:drawing>
          <wp:inline distB="0" distT="0" distL="0" distR="0">
            <wp:extent cx="962025" cy="1085850"/>
            <wp:effectExtent b="0" l="0" r="0" t="0"/>
            <wp:docPr descr="Descrição: F:\prefeitura logo.jpg" id="3" name="image3.png"/>
            <a:graphic>
              <a:graphicData uri="http://schemas.openxmlformats.org/drawingml/2006/picture">
                <pic:pic>
                  <pic:nvPicPr>
                    <pic:cNvPr descr="Descrição: F:\prefeitura logo.jp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41823"/>
          <w:sz w:val="32"/>
          <w:szCs w:val="32"/>
          <w:highlight w:val="white"/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1771650" cy="10001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14182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41823"/>
          <w:sz w:val="32"/>
          <w:szCs w:val="32"/>
          <w:highlight w:val="white"/>
        </w:rPr>
      </w:pPr>
      <w:r w:rsidDel="00000000" w:rsidR="00000000" w:rsidRPr="00000000">
        <w:rPr>
          <w:b w:val="1"/>
          <w:color w:val="141823"/>
          <w:sz w:val="32"/>
          <w:szCs w:val="32"/>
          <w:highlight w:val="white"/>
          <w:rtl w:val="0"/>
        </w:rPr>
        <w:t xml:space="preserve">Classificatória Paranaense de  Xadrez 2020/ Ibiporã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141823"/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DATA: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16/02/2020</w:t>
      </w:r>
      <w:r w:rsidDel="00000000" w:rsidR="00000000" w:rsidRPr="00000000">
        <w:rPr>
          <w:b w:val="1"/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LOCAL: COL. Estadual Unidade Polo -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Av. Eng. Francisco Beltrão, 1005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41823"/>
          <w:sz w:val="22"/>
          <w:szCs w:val="22"/>
          <w:highlight w:val="white"/>
        </w:rPr>
      </w:pP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CATEGORIAS: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sub 8, sub 10, sub 12, sub 14, sub 16, sub 18, Absoluto e Feminino.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Paralelamente,  haverá um Campeonato Absoluto aberto ao público. 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PARTICIPAÇÃO: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enxadristas com idade até 18 anos, que atenderem os requisitos de participação do regulamento vigente da FEXPAR para o Festival Paranaense de Menores.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REALIZAÇÃO TÉCNICA: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O torneio obedecerá o regulamento vigente do Festival Paranaense de Menores da FEXPAR e o Regulamento da Etapa Ibiporã. O sistema de competição de cada categoria será determinado a partir do número de participantes.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INSCRIÇÃO: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R$ 20,00 – vinte   reais . Contato para inscrições e/ou dúvidas pelo e-mail </w:t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rissaoricardo@gmail.com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141823"/>
          <w:sz w:val="22"/>
          <w:szCs w:val="22"/>
        </w:rPr>
      </w:pP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No ato da inscrição, o participante deverá informar nome completo, data de nascimento, categoria, município, telefone, e-mail e se houver, rating Fide, CBX, FEXPAR e id Fexpar,</w:t>
      </w:r>
      <w:r w:rsidDel="00000000" w:rsidR="00000000" w:rsidRPr="00000000">
        <w:rPr>
          <w:rFonts w:ascii="Times New Roman" w:cs="Times New Roman" w:eastAsia="Times New Roman" w:hAnsi="Times New Roman"/>
          <w:color w:val="141823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41823"/>
          <w:sz w:val="22"/>
          <w:szCs w:val="22"/>
          <w:highlight w:val="white"/>
        </w:rPr>
      </w:pP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PREMIAÇÃO: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medalhas para os 3 primeiros colocados de cada categoria bem como vaga para a fase final, nos termos do regulamento vigente constante no site </w:t>
      </w:r>
      <w:hyperlink r:id="rId9">
        <w:r w:rsidDel="00000000" w:rsidR="00000000" w:rsidRPr="00000000">
          <w:rPr>
            <w:color w:val="2e57aa"/>
            <w:sz w:val="22"/>
            <w:szCs w:val="22"/>
            <w:highlight w:val="white"/>
            <w:u w:val="none"/>
            <w:rtl w:val="0"/>
          </w:rPr>
          <w:t xml:space="preserve">www.fexpar.com.br</w:t>
        </w:r>
      </w:hyperlink>
      <w:r w:rsidDel="00000000" w:rsidR="00000000" w:rsidRPr="00000000">
        <w:rPr>
          <w:color w:val="141823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PROGRAMAÇÃO: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    9:00 ás 10:00 h confirmação das inscrições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10:00 ás 10:15h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– Sessão Técnica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10:30h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- 1a Rodada (previsão)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A programação completa será divulgada na Sessão Técnica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RITMO DE JOGO: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15 minutos para cada jogador.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MATERIAL: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Os participantes deverão, se possível for, trazer  relógio de xadrez.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INFORMAÇÕES: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(</w:t>
      </w:r>
      <w:r w:rsidDel="00000000" w:rsidR="00000000" w:rsidRPr="00000000">
        <w:rPr>
          <w:color w:val="141823"/>
          <w:sz w:val="20"/>
          <w:szCs w:val="20"/>
          <w:highlight w:val="white"/>
          <w:rtl w:val="0"/>
        </w:rPr>
        <w:t xml:space="preserve">43) 9971-5312 com Ricardo Kinoshita.</w:t>
      </w:r>
      <w:r w:rsidDel="00000000" w:rsidR="00000000" w:rsidRPr="00000000">
        <w:rPr>
          <w:color w:val="14182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PROMOÇÃO: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FEXPAR e Clube de Xadrez de Ibiporã.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APOIO:</w:t>
      </w:r>
      <w:r w:rsidDel="00000000" w:rsidR="00000000" w:rsidRPr="00000000">
        <w:rPr>
          <w:color w:val="141823"/>
          <w:sz w:val="22"/>
          <w:szCs w:val="22"/>
          <w:highlight w:val="white"/>
          <w:rtl w:val="0"/>
        </w:rPr>
        <w:t xml:space="preserve"> Prefeitura Municipal de Ibiporã através da Secretaria de Esportes</w:t>
      </w:r>
      <w:r w:rsidDel="00000000" w:rsidR="00000000" w:rsidRPr="00000000">
        <w:rPr>
          <w:color w:val="141823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141823"/>
          <w:sz w:val="22"/>
          <w:szCs w:val="22"/>
          <w:highlight w:val="white"/>
          <w:rtl w:val="0"/>
        </w:rPr>
        <w:t xml:space="preserve">EVENTUAIS CASOS OMISSOS SERÃO RESOLVIDOS PELA EQUIPE DE ARBITRAGEM.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expar.com.br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